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BC07" w14:textId="2DD31CFD" w:rsidR="00B666E0" w:rsidRDefault="00772E30" w:rsidP="00B666E0">
      <w:pPr>
        <w:widowControl w:val="0"/>
        <w:spacing w:after="120" w:line="240" w:lineRule="auto"/>
        <w:jc w:val="center"/>
        <w:rPr>
          <w:b/>
          <w:bCs/>
          <w:sz w:val="28"/>
          <w:szCs w:val="28"/>
        </w:rPr>
      </w:pPr>
      <w:r w:rsidRPr="5F5A4D51">
        <w:rPr>
          <w:b/>
          <w:bCs/>
          <w:sz w:val="28"/>
          <w:szCs w:val="28"/>
        </w:rPr>
        <w:t>Consultation</w:t>
      </w:r>
      <w:r w:rsidR="00940A6A" w:rsidRPr="5F5A4D51">
        <w:rPr>
          <w:b/>
          <w:bCs/>
          <w:sz w:val="28"/>
          <w:szCs w:val="28"/>
        </w:rPr>
        <w:t xml:space="preserve"> Paper – </w:t>
      </w:r>
      <w:r w:rsidR="00B124C5" w:rsidRPr="5F5A4D51">
        <w:rPr>
          <w:b/>
          <w:bCs/>
          <w:sz w:val="28"/>
          <w:szCs w:val="28"/>
        </w:rPr>
        <w:t>P</w:t>
      </w:r>
      <w:r w:rsidR="089481C7" w:rsidRPr="5F5A4D51">
        <w:rPr>
          <w:b/>
          <w:bCs/>
          <w:sz w:val="28"/>
          <w:szCs w:val="28"/>
        </w:rPr>
        <w:t xml:space="preserve">rivate Health Insurance (PHI) </w:t>
      </w:r>
      <w:r w:rsidR="00B124C5" w:rsidRPr="5F5A4D51">
        <w:rPr>
          <w:b/>
          <w:bCs/>
          <w:sz w:val="28"/>
          <w:szCs w:val="28"/>
        </w:rPr>
        <w:t>Incentives and Hospital Default Benefits Studies</w:t>
      </w:r>
    </w:p>
    <w:p w14:paraId="37B34C75" w14:textId="265ABBE4" w:rsidR="00772E30" w:rsidRPr="00263A72" w:rsidRDefault="00772E30" w:rsidP="00AD40FC">
      <w:pPr>
        <w:widowControl w:val="0"/>
        <w:spacing w:after="0" w:line="240" w:lineRule="auto"/>
        <w:rPr>
          <w:b/>
        </w:rPr>
      </w:pPr>
      <w:r w:rsidRPr="18359BA2">
        <w:rPr>
          <w:b/>
        </w:rPr>
        <w:t>Background</w:t>
      </w:r>
    </w:p>
    <w:p w14:paraId="7488FE44" w14:textId="111B4AFB" w:rsidR="005373C8" w:rsidRDefault="00B666E0" w:rsidP="00AD40FC">
      <w:pPr>
        <w:pStyle w:val="NormalWeb"/>
        <w:widowControl w:val="0"/>
        <w:tabs>
          <w:tab w:val="num" w:pos="284"/>
        </w:tabs>
        <w:spacing w:before="0" w:beforeAutospacing="0" w:after="120" w:afterAutospacing="0"/>
        <w:ind w:right="-144"/>
        <w:rPr>
          <w:rFonts w:asciiTheme="minorHAnsi" w:hAnsiTheme="minorHAnsi" w:cstheme="minorBidi"/>
          <w:sz w:val="22"/>
          <w:szCs w:val="22"/>
        </w:rPr>
      </w:pPr>
      <w:r>
        <w:rPr>
          <w:rFonts w:asciiTheme="minorHAnsi" w:hAnsiTheme="minorHAnsi" w:cstheme="minorBidi"/>
          <w:sz w:val="22"/>
          <w:szCs w:val="22"/>
        </w:rPr>
        <w:t>I</w:t>
      </w:r>
      <w:r w:rsidRPr="5F5A4D51">
        <w:rPr>
          <w:rFonts w:asciiTheme="minorHAnsi" w:hAnsiTheme="minorHAnsi" w:cstheme="minorBidi"/>
          <w:sz w:val="22"/>
          <w:szCs w:val="22"/>
        </w:rPr>
        <w:t xml:space="preserve">ndependent studies </w:t>
      </w:r>
      <w:r w:rsidR="005373C8" w:rsidRPr="5F5A4D51">
        <w:rPr>
          <w:rFonts w:asciiTheme="minorHAnsi" w:hAnsiTheme="minorHAnsi" w:cstheme="minorBidi"/>
          <w:sz w:val="22"/>
          <w:szCs w:val="22"/>
        </w:rPr>
        <w:t xml:space="preserve">were announced in the 2020-21 and 2021-22 Budgets </w:t>
      </w:r>
      <w:r w:rsidR="005373C8">
        <w:rPr>
          <w:rFonts w:asciiTheme="minorHAnsi" w:hAnsiTheme="minorHAnsi" w:cstheme="minorBidi"/>
          <w:sz w:val="22"/>
          <w:szCs w:val="22"/>
        </w:rPr>
        <w:t xml:space="preserve">and covered the following: </w:t>
      </w:r>
    </w:p>
    <w:p w14:paraId="468F67C5" w14:textId="2B68AB7F" w:rsidR="005373C8" w:rsidRDefault="005373C8" w:rsidP="00AD40FC">
      <w:pPr>
        <w:pStyle w:val="NormalWeb"/>
        <w:widowControl w:val="0"/>
        <w:numPr>
          <w:ilvl w:val="0"/>
          <w:numId w:val="40"/>
        </w:numPr>
        <w:spacing w:before="0" w:beforeAutospacing="0" w:after="120" w:afterAutospacing="0"/>
        <w:ind w:left="567" w:hanging="567"/>
        <w:rPr>
          <w:rFonts w:asciiTheme="minorHAnsi" w:hAnsiTheme="minorHAnsi" w:cstheme="minorBidi"/>
          <w:sz w:val="22"/>
          <w:szCs w:val="22"/>
        </w:rPr>
      </w:pPr>
      <w:r>
        <w:rPr>
          <w:rFonts w:asciiTheme="minorHAnsi" w:hAnsiTheme="minorHAnsi" w:cstheme="minorBidi"/>
          <w:sz w:val="22"/>
          <w:szCs w:val="22"/>
        </w:rPr>
        <w:t>T</w:t>
      </w:r>
      <w:r w:rsidR="00B666E0" w:rsidRPr="5F5A4D51">
        <w:rPr>
          <w:rFonts w:asciiTheme="minorHAnsi" w:hAnsiTheme="minorHAnsi" w:cstheme="minorBidi"/>
          <w:sz w:val="22"/>
          <w:szCs w:val="22"/>
        </w:rPr>
        <w:t xml:space="preserve">he effectiveness of the regulatory settings for the </w:t>
      </w:r>
      <w:hyperlink r:id="rId7" w:history="1">
        <w:r w:rsidR="00B666E0" w:rsidRPr="000B6201">
          <w:rPr>
            <w:rStyle w:val="Hyperlink"/>
            <w:rFonts w:asciiTheme="minorHAnsi" w:hAnsiTheme="minorHAnsi" w:cstheme="minorBidi"/>
            <w:sz w:val="22"/>
            <w:szCs w:val="22"/>
          </w:rPr>
          <w:t>Medicare Levy Surcharge (MLS), Rebate</w:t>
        </w:r>
      </w:hyperlink>
      <w:r w:rsidR="00B666E0" w:rsidRPr="5F5A4D51">
        <w:rPr>
          <w:rFonts w:asciiTheme="minorHAnsi" w:hAnsiTheme="minorHAnsi" w:cstheme="minorBidi"/>
          <w:sz w:val="22"/>
          <w:szCs w:val="22"/>
        </w:rPr>
        <w:t xml:space="preserve">, </w:t>
      </w:r>
      <w:r w:rsidR="00577DEA">
        <w:rPr>
          <w:rFonts w:asciiTheme="minorHAnsi" w:hAnsiTheme="minorHAnsi" w:cstheme="minorBidi"/>
          <w:sz w:val="22"/>
          <w:szCs w:val="22"/>
        </w:rPr>
        <w:t xml:space="preserve">and </w:t>
      </w:r>
      <w:hyperlink r:id="rId8" w:history="1">
        <w:r w:rsidR="00B666E0" w:rsidRPr="000B6201">
          <w:rPr>
            <w:rStyle w:val="Hyperlink"/>
            <w:rFonts w:asciiTheme="minorHAnsi" w:hAnsiTheme="minorHAnsi" w:cstheme="minorBidi"/>
            <w:sz w:val="22"/>
            <w:szCs w:val="22"/>
          </w:rPr>
          <w:t>Lifetime Health Cover (LHC)</w:t>
        </w:r>
      </w:hyperlink>
      <w:r w:rsidR="00B666E0" w:rsidRPr="5F5A4D51">
        <w:rPr>
          <w:rFonts w:asciiTheme="minorHAnsi" w:hAnsiTheme="minorHAnsi" w:cstheme="minorBidi"/>
          <w:sz w:val="22"/>
          <w:szCs w:val="22"/>
        </w:rPr>
        <w:t xml:space="preserve"> </w:t>
      </w:r>
      <w:r w:rsidR="00B666E0">
        <w:rPr>
          <w:rFonts w:asciiTheme="minorHAnsi" w:hAnsiTheme="minorHAnsi" w:cstheme="minorBidi"/>
          <w:sz w:val="22"/>
          <w:szCs w:val="22"/>
        </w:rPr>
        <w:t>(collectively referred to as the PHI Incentives)</w:t>
      </w:r>
      <w:r w:rsidR="00AD40FC">
        <w:rPr>
          <w:rFonts w:asciiTheme="minorHAnsi" w:hAnsiTheme="minorHAnsi" w:cstheme="minorBidi"/>
          <w:sz w:val="22"/>
          <w:szCs w:val="22"/>
        </w:rPr>
        <w:t>;</w:t>
      </w:r>
      <w:r w:rsidR="00B666E0">
        <w:rPr>
          <w:rFonts w:asciiTheme="minorHAnsi" w:hAnsiTheme="minorHAnsi" w:cstheme="minorBidi"/>
          <w:sz w:val="22"/>
          <w:szCs w:val="22"/>
        </w:rPr>
        <w:t xml:space="preserve"> </w:t>
      </w:r>
      <w:r w:rsidR="00B666E0" w:rsidRPr="5F5A4D51">
        <w:rPr>
          <w:rFonts w:asciiTheme="minorHAnsi" w:hAnsiTheme="minorHAnsi" w:cstheme="minorBidi"/>
          <w:sz w:val="22"/>
          <w:szCs w:val="22"/>
        </w:rPr>
        <w:t xml:space="preserve">and </w:t>
      </w:r>
    </w:p>
    <w:p w14:paraId="2534C750" w14:textId="284A8EAD" w:rsidR="006108E7" w:rsidRPr="00AD40FC" w:rsidRDefault="009267D9" w:rsidP="00AD40FC">
      <w:pPr>
        <w:pStyle w:val="NormalWeb"/>
        <w:widowControl w:val="0"/>
        <w:numPr>
          <w:ilvl w:val="0"/>
          <w:numId w:val="40"/>
        </w:numPr>
        <w:spacing w:before="0" w:beforeAutospacing="0" w:after="120" w:afterAutospacing="0"/>
        <w:ind w:left="567" w:hanging="567"/>
        <w:rPr>
          <w:rFonts w:asciiTheme="minorHAnsi" w:hAnsiTheme="minorHAnsi" w:cstheme="minorBidi"/>
          <w:sz w:val="22"/>
          <w:szCs w:val="22"/>
        </w:rPr>
      </w:pPr>
      <w:hyperlink r:id="rId9" w:history="1">
        <w:r w:rsidR="00B666E0" w:rsidRPr="000B6201">
          <w:rPr>
            <w:rStyle w:val="Hyperlink"/>
            <w:rFonts w:asciiTheme="minorHAnsi" w:hAnsiTheme="minorHAnsi" w:cstheme="minorBidi"/>
            <w:sz w:val="22"/>
            <w:szCs w:val="22"/>
          </w:rPr>
          <w:t>Hospital Default Benefits</w:t>
        </w:r>
      </w:hyperlink>
      <w:r w:rsidR="00B666E0" w:rsidRPr="5F5A4D51">
        <w:rPr>
          <w:rFonts w:asciiTheme="minorHAnsi" w:hAnsiTheme="minorHAnsi" w:cstheme="minorBidi"/>
          <w:sz w:val="22"/>
          <w:szCs w:val="22"/>
        </w:rPr>
        <w:t xml:space="preserve">. </w:t>
      </w:r>
      <w:r w:rsidR="00EF6CE8">
        <w:rPr>
          <w:rFonts w:asciiTheme="minorHAnsi" w:hAnsiTheme="minorHAnsi" w:cstheme="minorBidi"/>
          <w:sz w:val="22"/>
          <w:szCs w:val="22"/>
        </w:rPr>
        <w:t xml:space="preserve">   </w:t>
      </w:r>
    </w:p>
    <w:p w14:paraId="62CD82FC" w14:textId="7C996E98" w:rsidR="00961634" w:rsidRPr="00B124C5" w:rsidRDefault="00B124C5" w:rsidP="18359BA2">
      <w:pPr>
        <w:pStyle w:val="NormalWeb"/>
        <w:widowControl w:val="0"/>
        <w:tabs>
          <w:tab w:val="num" w:pos="284"/>
        </w:tabs>
        <w:spacing w:before="0" w:beforeAutospacing="0" w:after="120" w:afterAutospacing="0"/>
        <w:rPr>
          <w:rFonts w:asciiTheme="minorHAnsi" w:hAnsiTheme="minorHAnsi" w:cstheme="minorBidi"/>
          <w:sz w:val="22"/>
          <w:szCs w:val="22"/>
        </w:rPr>
      </w:pPr>
      <w:r w:rsidRPr="5F5A4D51">
        <w:rPr>
          <w:rFonts w:asciiTheme="minorHAnsi" w:hAnsiTheme="minorHAnsi" w:cstheme="minorBidi"/>
          <w:sz w:val="22"/>
          <w:szCs w:val="22"/>
        </w:rPr>
        <w:t xml:space="preserve">The </w:t>
      </w:r>
      <w:r w:rsidR="003E489B" w:rsidRPr="5F5A4D51">
        <w:rPr>
          <w:rFonts w:asciiTheme="minorHAnsi" w:hAnsiTheme="minorHAnsi" w:cstheme="minorBidi"/>
          <w:sz w:val="22"/>
          <w:szCs w:val="22"/>
        </w:rPr>
        <w:t xml:space="preserve">regulatory </w:t>
      </w:r>
      <w:r w:rsidRPr="5F5A4D51">
        <w:rPr>
          <w:rFonts w:asciiTheme="minorHAnsi" w:hAnsiTheme="minorHAnsi" w:cstheme="minorBidi"/>
          <w:sz w:val="22"/>
          <w:szCs w:val="22"/>
        </w:rPr>
        <w:t xml:space="preserve">settings for </w:t>
      </w:r>
      <w:r w:rsidR="00B666E0">
        <w:rPr>
          <w:rFonts w:asciiTheme="minorHAnsi" w:hAnsiTheme="minorHAnsi" w:cstheme="minorBidi"/>
          <w:sz w:val="22"/>
          <w:szCs w:val="22"/>
        </w:rPr>
        <w:t>the</w:t>
      </w:r>
      <w:r w:rsidRPr="5F5A4D51">
        <w:rPr>
          <w:rFonts w:asciiTheme="minorHAnsi" w:hAnsiTheme="minorHAnsi" w:cstheme="minorBidi"/>
          <w:sz w:val="22"/>
          <w:szCs w:val="22"/>
        </w:rPr>
        <w:t xml:space="preserve"> PHI incentives and </w:t>
      </w:r>
      <w:r w:rsidR="00B666E0">
        <w:rPr>
          <w:rFonts w:asciiTheme="minorHAnsi" w:hAnsiTheme="minorHAnsi" w:cstheme="minorBidi"/>
          <w:sz w:val="22"/>
          <w:szCs w:val="22"/>
        </w:rPr>
        <w:t>Hospital Default Benefits</w:t>
      </w:r>
      <w:r w:rsidRPr="5F5A4D51">
        <w:rPr>
          <w:rFonts w:asciiTheme="minorHAnsi" w:hAnsiTheme="minorHAnsi" w:cstheme="minorBidi"/>
          <w:sz w:val="22"/>
          <w:szCs w:val="22"/>
        </w:rPr>
        <w:t xml:space="preserve"> have been largely unchanged for 20</w:t>
      </w:r>
      <w:r w:rsidR="006F5910">
        <w:rPr>
          <w:rFonts w:asciiTheme="minorHAnsi" w:hAnsiTheme="minorHAnsi" w:cstheme="minorBidi"/>
          <w:sz w:val="22"/>
          <w:szCs w:val="22"/>
        </w:rPr>
        <w:t> </w:t>
      </w:r>
      <w:r w:rsidRPr="5F5A4D51">
        <w:rPr>
          <w:rFonts w:asciiTheme="minorHAnsi" w:hAnsiTheme="minorHAnsi" w:cstheme="minorBidi"/>
          <w:sz w:val="22"/>
          <w:szCs w:val="22"/>
        </w:rPr>
        <w:t>years.</w:t>
      </w:r>
      <w:r w:rsidR="003E489B" w:rsidRPr="5F5A4D51">
        <w:rPr>
          <w:rFonts w:asciiTheme="minorHAnsi" w:hAnsiTheme="minorHAnsi" w:cstheme="minorBidi"/>
          <w:sz w:val="22"/>
          <w:szCs w:val="22"/>
        </w:rPr>
        <w:t xml:space="preserve"> Given the amount of healthcare funded</w:t>
      </w:r>
      <w:r w:rsidR="67E6F45F" w:rsidRPr="5F5A4D51">
        <w:rPr>
          <w:rFonts w:asciiTheme="minorHAnsi" w:hAnsiTheme="minorHAnsi" w:cstheme="minorBidi"/>
          <w:sz w:val="22"/>
          <w:szCs w:val="22"/>
        </w:rPr>
        <w:t xml:space="preserve"> through PHI</w:t>
      </w:r>
      <w:r w:rsidR="003E489B" w:rsidRPr="5F5A4D51">
        <w:rPr>
          <w:rFonts w:asciiTheme="minorHAnsi" w:hAnsiTheme="minorHAnsi" w:cstheme="minorBidi"/>
          <w:sz w:val="22"/>
          <w:szCs w:val="22"/>
        </w:rPr>
        <w:t xml:space="preserve"> and the impact of the incentives on consumer behaviour, optimal PHI regulatory settings are important: </w:t>
      </w:r>
      <w:r w:rsidRPr="5F5A4D51">
        <w:rPr>
          <w:rFonts w:asciiTheme="minorHAnsi" w:hAnsiTheme="minorHAnsi" w:cstheme="minorBidi"/>
          <w:sz w:val="22"/>
          <w:szCs w:val="22"/>
        </w:rPr>
        <w:t xml:space="preserve"> </w:t>
      </w:r>
    </w:p>
    <w:p w14:paraId="0126EF11" w14:textId="77777777" w:rsidR="00B124C5" w:rsidRPr="00B124C5" w:rsidRDefault="003E489B" w:rsidP="18359BA2">
      <w:pPr>
        <w:pStyle w:val="NormalWeb"/>
        <w:widowControl w:val="0"/>
        <w:numPr>
          <w:ilvl w:val="0"/>
          <w:numId w:val="33"/>
        </w:numPr>
        <w:spacing w:before="0" w:beforeAutospacing="0" w:after="120" w:afterAutospacing="0"/>
        <w:rPr>
          <w:rFonts w:asciiTheme="minorHAnsi" w:hAnsiTheme="minorHAnsi" w:cstheme="minorBidi"/>
          <w:sz w:val="22"/>
          <w:szCs w:val="22"/>
        </w:rPr>
      </w:pPr>
      <w:r w:rsidRPr="18359BA2">
        <w:rPr>
          <w:rFonts w:asciiTheme="minorHAnsi" w:hAnsiTheme="minorHAnsi" w:cstheme="minorBidi"/>
          <w:sz w:val="22"/>
          <w:szCs w:val="22"/>
        </w:rPr>
        <w:t>f</w:t>
      </w:r>
      <w:r w:rsidR="00B124C5" w:rsidRPr="18359BA2">
        <w:rPr>
          <w:rFonts w:asciiTheme="minorHAnsi" w:hAnsiTheme="minorHAnsi" w:cstheme="minorBidi"/>
          <w:sz w:val="22"/>
          <w:szCs w:val="22"/>
        </w:rPr>
        <w:t>or consumers,</w:t>
      </w:r>
      <w:r w:rsidR="006C3B74" w:rsidRPr="18359BA2">
        <w:rPr>
          <w:rFonts w:asciiTheme="minorHAnsi" w:hAnsiTheme="minorHAnsi" w:cstheme="minorBidi"/>
          <w:sz w:val="22"/>
          <w:szCs w:val="22"/>
        </w:rPr>
        <w:t xml:space="preserve"> </w:t>
      </w:r>
      <w:r w:rsidR="00B666E0">
        <w:rPr>
          <w:rFonts w:asciiTheme="minorHAnsi" w:hAnsiTheme="minorHAnsi" w:cstheme="minorBidi"/>
          <w:sz w:val="22"/>
          <w:szCs w:val="22"/>
        </w:rPr>
        <w:t xml:space="preserve">the regulatory arrangements </w:t>
      </w:r>
      <w:r w:rsidR="00B124C5" w:rsidRPr="18359BA2">
        <w:rPr>
          <w:rFonts w:asciiTheme="minorHAnsi" w:hAnsiTheme="minorHAnsi" w:cstheme="minorBidi"/>
          <w:sz w:val="22"/>
          <w:szCs w:val="22"/>
        </w:rPr>
        <w:t>impact the affordability of premiums</w:t>
      </w:r>
      <w:r w:rsidR="00B666E0">
        <w:rPr>
          <w:rFonts w:asciiTheme="minorHAnsi" w:hAnsiTheme="minorHAnsi" w:cstheme="minorBidi"/>
          <w:sz w:val="22"/>
          <w:szCs w:val="22"/>
        </w:rPr>
        <w:t>,</w:t>
      </w:r>
      <w:r w:rsidRPr="18359BA2">
        <w:rPr>
          <w:rFonts w:asciiTheme="minorHAnsi" w:hAnsiTheme="minorHAnsi" w:cstheme="minorBidi"/>
          <w:sz w:val="22"/>
          <w:szCs w:val="22"/>
        </w:rPr>
        <w:t xml:space="preserve"> </w:t>
      </w:r>
      <w:r w:rsidR="00B666E0">
        <w:rPr>
          <w:rFonts w:asciiTheme="minorHAnsi" w:hAnsiTheme="minorHAnsi" w:cstheme="minorBidi"/>
          <w:sz w:val="22"/>
          <w:szCs w:val="22"/>
        </w:rPr>
        <w:t>the</w:t>
      </w:r>
      <w:r w:rsidRPr="18359BA2">
        <w:rPr>
          <w:rFonts w:asciiTheme="minorHAnsi" w:hAnsiTheme="minorHAnsi" w:cstheme="minorBidi"/>
          <w:sz w:val="22"/>
          <w:szCs w:val="22"/>
        </w:rPr>
        <w:t xml:space="preserve"> value</w:t>
      </w:r>
      <w:r w:rsidR="00B124C5" w:rsidRPr="18359BA2">
        <w:rPr>
          <w:rFonts w:asciiTheme="minorHAnsi" w:hAnsiTheme="minorHAnsi" w:cstheme="minorBidi"/>
          <w:sz w:val="22"/>
          <w:szCs w:val="22"/>
        </w:rPr>
        <w:t xml:space="preserve"> of insurance </w:t>
      </w:r>
      <w:r w:rsidR="00B666E0">
        <w:rPr>
          <w:rFonts w:asciiTheme="minorHAnsi" w:hAnsiTheme="minorHAnsi" w:cstheme="minorBidi"/>
          <w:sz w:val="22"/>
          <w:szCs w:val="22"/>
        </w:rPr>
        <w:t xml:space="preserve">products </w:t>
      </w:r>
      <w:r w:rsidR="00B124C5" w:rsidRPr="18359BA2">
        <w:rPr>
          <w:rFonts w:asciiTheme="minorHAnsi" w:hAnsiTheme="minorHAnsi" w:cstheme="minorBidi"/>
          <w:sz w:val="22"/>
          <w:szCs w:val="22"/>
        </w:rPr>
        <w:t xml:space="preserve">including </w:t>
      </w:r>
      <w:r w:rsidR="00B666E0">
        <w:rPr>
          <w:rFonts w:asciiTheme="minorHAnsi" w:hAnsiTheme="minorHAnsi" w:cstheme="minorBidi"/>
          <w:sz w:val="22"/>
          <w:szCs w:val="22"/>
        </w:rPr>
        <w:t xml:space="preserve">consumers healthcare choices and </w:t>
      </w:r>
      <w:r w:rsidR="00B124C5" w:rsidRPr="18359BA2">
        <w:rPr>
          <w:rFonts w:asciiTheme="minorHAnsi" w:hAnsiTheme="minorHAnsi" w:cstheme="minorBidi"/>
          <w:sz w:val="22"/>
          <w:szCs w:val="22"/>
        </w:rPr>
        <w:t xml:space="preserve">out of pocket costs; and </w:t>
      </w:r>
    </w:p>
    <w:p w14:paraId="4DAE19C5" w14:textId="77777777" w:rsidR="00B124C5" w:rsidRDefault="003E489B" w:rsidP="18359BA2">
      <w:pPr>
        <w:pStyle w:val="NormalWeb"/>
        <w:widowControl w:val="0"/>
        <w:numPr>
          <w:ilvl w:val="0"/>
          <w:numId w:val="33"/>
        </w:numPr>
        <w:spacing w:before="0" w:beforeAutospacing="0" w:after="120" w:afterAutospacing="0"/>
        <w:rPr>
          <w:rFonts w:asciiTheme="minorHAnsi" w:hAnsiTheme="minorHAnsi" w:cstheme="minorBidi"/>
          <w:sz w:val="22"/>
          <w:szCs w:val="22"/>
        </w:rPr>
      </w:pPr>
      <w:r w:rsidRPr="5F5A4D51">
        <w:rPr>
          <w:rFonts w:asciiTheme="minorHAnsi" w:hAnsiTheme="minorHAnsi" w:cstheme="minorBidi"/>
          <w:sz w:val="22"/>
          <w:szCs w:val="22"/>
        </w:rPr>
        <w:t>f</w:t>
      </w:r>
      <w:r w:rsidR="00B124C5" w:rsidRPr="5F5A4D51">
        <w:rPr>
          <w:rFonts w:asciiTheme="minorHAnsi" w:hAnsiTheme="minorHAnsi" w:cstheme="minorBidi"/>
          <w:sz w:val="22"/>
          <w:szCs w:val="22"/>
        </w:rPr>
        <w:t xml:space="preserve">or the health system, </w:t>
      </w:r>
      <w:r w:rsidR="00B666E0">
        <w:rPr>
          <w:rFonts w:asciiTheme="minorHAnsi" w:hAnsiTheme="minorHAnsi" w:cstheme="minorBidi"/>
          <w:sz w:val="22"/>
          <w:szCs w:val="22"/>
        </w:rPr>
        <w:t>the regulatory arrangements facilitate additional funding for the delivery of healthcare and can take pressure off</w:t>
      </w:r>
      <w:r w:rsidR="00B124C5" w:rsidRPr="5F5A4D51">
        <w:rPr>
          <w:rFonts w:asciiTheme="minorHAnsi" w:hAnsiTheme="minorHAnsi" w:cstheme="minorBidi"/>
          <w:sz w:val="22"/>
          <w:szCs w:val="22"/>
        </w:rPr>
        <w:t xml:space="preserve"> public h</w:t>
      </w:r>
      <w:r w:rsidRPr="5F5A4D51">
        <w:rPr>
          <w:rFonts w:asciiTheme="minorHAnsi" w:hAnsiTheme="minorHAnsi" w:cstheme="minorBidi"/>
          <w:sz w:val="22"/>
          <w:szCs w:val="22"/>
        </w:rPr>
        <w:t xml:space="preserve">ospitals. </w:t>
      </w:r>
    </w:p>
    <w:p w14:paraId="2B1F760E" w14:textId="484450DE" w:rsidR="007C468E" w:rsidRDefault="00AD40FC" w:rsidP="18359BA2">
      <w:pPr>
        <w:pStyle w:val="NormalWeb"/>
        <w:widowControl w:val="0"/>
        <w:spacing w:before="0" w:beforeAutospacing="0" w:after="120" w:afterAutospacing="0"/>
        <w:rPr>
          <w:rFonts w:asciiTheme="minorHAnsi" w:hAnsiTheme="minorHAnsi" w:cstheme="minorBidi"/>
          <w:sz w:val="22"/>
          <w:szCs w:val="22"/>
        </w:rPr>
      </w:pPr>
      <w:r w:rsidRPr="00AD40FC">
        <w:rPr>
          <w:rFonts w:asciiTheme="minorHAnsi" w:hAnsiTheme="minorHAnsi" w:cstheme="minorBidi"/>
          <w:sz w:val="22"/>
          <w:szCs w:val="22"/>
        </w:rPr>
        <w:t>Finity Consulting (Finity) undertook the review of the PHI Incentives and Ernst and Young (EY) undertook the review of the Hospital Default Benefit arrangements. For both companies, their actuaries with PHI expertise were engaged for the respective studies.</w:t>
      </w:r>
    </w:p>
    <w:p w14:paraId="7100D412" w14:textId="77777777" w:rsidR="003E489B" w:rsidDel="00D31F2A" w:rsidRDefault="00B124C5" w:rsidP="00AD40FC">
      <w:pPr>
        <w:pStyle w:val="NormalWeb"/>
        <w:widowControl w:val="0"/>
        <w:spacing w:before="0" w:beforeAutospacing="0" w:after="0" w:afterAutospacing="0"/>
        <w:rPr>
          <w:rFonts w:asciiTheme="minorHAnsi" w:hAnsiTheme="minorHAnsi" w:cstheme="minorBidi"/>
          <w:b/>
          <w:sz w:val="22"/>
          <w:szCs w:val="22"/>
        </w:rPr>
      </w:pPr>
      <w:r w:rsidRPr="18359BA2">
        <w:rPr>
          <w:rFonts w:asciiTheme="minorHAnsi" w:hAnsiTheme="minorHAnsi" w:cstheme="minorBidi"/>
          <w:b/>
          <w:sz w:val="22"/>
          <w:szCs w:val="22"/>
        </w:rPr>
        <w:t>C</w:t>
      </w:r>
      <w:r w:rsidR="00961634" w:rsidRPr="18359BA2">
        <w:rPr>
          <w:rFonts w:asciiTheme="minorHAnsi" w:hAnsiTheme="minorHAnsi" w:cstheme="minorBidi"/>
          <w:b/>
          <w:sz w:val="22"/>
          <w:szCs w:val="22"/>
        </w:rPr>
        <w:t>onsultation</w:t>
      </w:r>
      <w:r w:rsidR="003E489B" w:rsidRPr="18359BA2" w:rsidDel="00D31F2A">
        <w:rPr>
          <w:rFonts w:asciiTheme="minorHAnsi" w:hAnsiTheme="minorHAnsi" w:cstheme="minorBidi"/>
          <w:b/>
          <w:sz w:val="22"/>
          <w:szCs w:val="22"/>
        </w:rPr>
        <w:t xml:space="preserve"> </w:t>
      </w:r>
    </w:p>
    <w:p w14:paraId="47D4A056" w14:textId="77777777" w:rsidR="00B666E0" w:rsidRDefault="00B666E0" w:rsidP="18359BA2">
      <w:pPr>
        <w:pStyle w:val="NormalWeb"/>
        <w:widowControl w:val="0"/>
        <w:spacing w:before="0" w:beforeAutospacing="0" w:after="120" w:afterAutospacing="0"/>
        <w:rPr>
          <w:rFonts w:asciiTheme="minorHAnsi" w:hAnsiTheme="minorHAnsi" w:cstheme="minorBidi"/>
          <w:sz w:val="22"/>
          <w:szCs w:val="22"/>
        </w:rPr>
      </w:pPr>
      <w:r w:rsidRPr="18359BA2">
        <w:rPr>
          <w:rFonts w:asciiTheme="minorHAnsi" w:hAnsiTheme="minorHAnsi" w:cstheme="minorBidi"/>
          <w:sz w:val="22"/>
          <w:szCs w:val="22"/>
        </w:rPr>
        <w:t xml:space="preserve">During 2021 and 2022, Finity and EY held several stakeholder forums, </w:t>
      </w:r>
      <w:proofErr w:type="gramStart"/>
      <w:r w:rsidRPr="18359BA2">
        <w:rPr>
          <w:rFonts w:asciiTheme="minorHAnsi" w:hAnsiTheme="minorHAnsi" w:cstheme="minorBidi"/>
          <w:sz w:val="22"/>
          <w:szCs w:val="22"/>
        </w:rPr>
        <w:t>workshops</w:t>
      </w:r>
      <w:proofErr w:type="gramEnd"/>
      <w:r w:rsidRPr="18359BA2">
        <w:rPr>
          <w:rFonts w:asciiTheme="minorHAnsi" w:hAnsiTheme="minorHAnsi" w:cstheme="minorBidi"/>
          <w:sz w:val="22"/>
          <w:szCs w:val="22"/>
        </w:rPr>
        <w:t xml:space="preserve"> and interviews to contribute to the development of their respective studies.</w:t>
      </w:r>
      <w:r>
        <w:rPr>
          <w:rFonts w:asciiTheme="minorHAnsi" w:hAnsiTheme="minorHAnsi" w:cstheme="minorBidi"/>
          <w:sz w:val="22"/>
          <w:szCs w:val="22"/>
        </w:rPr>
        <w:t xml:space="preserve"> </w:t>
      </w:r>
    </w:p>
    <w:p w14:paraId="4317EF5D" w14:textId="77777777" w:rsidR="00B666E0" w:rsidRDefault="00B666E0" w:rsidP="00B666E0">
      <w:pPr>
        <w:pStyle w:val="NormalWeb"/>
        <w:widowControl w:val="0"/>
        <w:spacing w:before="0" w:beforeAutospacing="0" w:after="120" w:afterAutospacing="0"/>
        <w:rPr>
          <w:rFonts w:asciiTheme="minorHAnsi" w:hAnsiTheme="minorHAnsi" w:cstheme="minorBidi"/>
          <w:sz w:val="22"/>
          <w:szCs w:val="22"/>
        </w:rPr>
      </w:pPr>
      <w:r w:rsidRPr="18359BA2">
        <w:rPr>
          <w:rFonts w:asciiTheme="minorHAnsi" w:hAnsiTheme="minorHAnsi" w:cstheme="minorBidi"/>
          <w:sz w:val="22"/>
          <w:szCs w:val="22"/>
        </w:rPr>
        <w:t xml:space="preserve">The </w:t>
      </w:r>
      <w:r w:rsidRPr="5F5A4D51">
        <w:rPr>
          <w:rFonts w:asciiTheme="minorHAnsi" w:hAnsiTheme="minorHAnsi" w:cstheme="minorBidi"/>
          <w:sz w:val="22"/>
          <w:szCs w:val="22"/>
        </w:rPr>
        <w:t xml:space="preserve">Department of Health and Aged Care </w:t>
      </w:r>
      <w:r w:rsidRPr="18359BA2">
        <w:rPr>
          <w:rFonts w:asciiTheme="minorHAnsi" w:hAnsiTheme="minorHAnsi" w:cstheme="minorBidi"/>
          <w:sz w:val="22"/>
          <w:szCs w:val="22"/>
        </w:rPr>
        <w:t xml:space="preserve">thanks </w:t>
      </w:r>
      <w:r>
        <w:rPr>
          <w:rFonts w:asciiTheme="minorHAnsi" w:hAnsiTheme="minorHAnsi" w:cstheme="minorBidi"/>
          <w:sz w:val="22"/>
          <w:szCs w:val="22"/>
        </w:rPr>
        <w:t>all parties</w:t>
      </w:r>
      <w:r w:rsidRPr="18359BA2">
        <w:rPr>
          <w:rFonts w:asciiTheme="minorHAnsi" w:hAnsiTheme="minorHAnsi" w:cstheme="minorBidi"/>
          <w:sz w:val="22"/>
          <w:szCs w:val="22"/>
        </w:rPr>
        <w:t xml:space="preserve"> that contributed to the</w:t>
      </w:r>
      <w:r>
        <w:rPr>
          <w:rFonts w:asciiTheme="minorHAnsi" w:hAnsiTheme="minorHAnsi" w:cstheme="minorBidi"/>
          <w:sz w:val="22"/>
          <w:szCs w:val="22"/>
        </w:rPr>
        <w:t xml:space="preserve"> development of the </w:t>
      </w:r>
      <w:r w:rsidRPr="18359BA2">
        <w:rPr>
          <w:rFonts w:asciiTheme="minorHAnsi" w:hAnsiTheme="minorHAnsi" w:cstheme="minorBidi"/>
          <w:sz w:val="22"/>
          <w:szCs w:val="22"/>
        </w:rPr>
        <w:t>studies</w:t>
      </w:r>
      <w:r>
        <w:rPr>
          <w:rFonts w:asciiTheme="minorHAnsi" w:hAnsiTheme="minorHAnsi" w:cstheme="minorBidi"/>
          <w:sz w:val="22"/>
          <w:szCs w:val="22"/>
        </w:rPr>
        <w:t xml:space="preserve">, and now invites all interested parties to review and provide feedback on the final reports to assist </w:t>
      </w:r>
      <w:r w:rsidR="00CA318F" w:rsidRPr="5F5A4D51">
        <w:rPr>
          <w:rFonts w:asciiTheme="minorHAnsi" w:hAnsiTheme="minorHAnsi" w:cstheme="minorBidi"/>
          <w:sz w:val="22"/>
          <w:szCs w:val="22"/>
        </w:rPr>
        <w:t>Government’s consideration</w:t>
      </w:r>
      <w:r>
        <w:rPr>
          <w:rFonts w:asciiTheme="minorHAnsi" w:hAnsiTheme="minorHAnsi" w:cstheme="minorBidi"/>
          <w:sz w:val="22"/>
          <w:szCs w:val="22"/>
        </w:rPr>
        <w:t xml:space="preserve"> of the findings and recommendations. </w:t>
      </w:r>
    </w:p>
    <w:p w14:paraId="0846A0C0" w14:textId="40674459" w:rsidR="00B666E0" w:rsidRDefault="00B666E0" w:rsidP="18359BA2">
      <w:pPr>
        <w:pStyle w:val="NormalWeb"/>
        <w:widowControl w:val="0"/>
        <w:spacing w:before="0" w:beforeAutospacing="0" w:after="120" w:afterAutospacing="0"/>
        <w:rPr>
          <w:rFonts w:asciiTheme="minorHAnsi" w:hAnsiTheme="minorHAnsi" w:cstheme="minorBidi"/>
          <w:sz w:val="22"/>
          <w:szCs w:val="22"/>
        </w:rPr>
      </w:pPr>
      <w:r>
        <w:rPr>
          <w:rFonts w:asciiTheme="minorHAnsi" w:hAnsiTheme="minorHAnsi" w:cstheme="minorBidi"/>
          <w:sz w:val="22"/>
          <w:szCs w:val="22"/>
        </w:rPr>
        <w:t>F</w:t>
      </w:r>
      <w:r w:rsidR="00CA318F" w:rsidRPr="5F5A4D51">
        <w:rPr>
          <w:rFonts w:asciiTheme="minorHAnsi" w:hAnsiTheme="minorHAnsi" w:cstheme="minorBidi"/>
          <w:sz w:val="22"/>
          <w:szCs w:val="22"/>
        </w:rPr>
        <w:t xml:space="preserve">eedback </w:t>
      </w:r>
      <w:r>
        <w:rPr>
          <w:rFonts w:asciiTheme="minorHAnsi" w:hAnsiTheme="minorHAnsi" w:cstheme="minorBidi"/>
          <w:sz w:val="22"/>
          <w:szCs w:val="22"/>
        </w:rPr>
        <w:t xml:space="preserve">is </w:t>
      </w:r>
      <w:r w:rsidRPr="00847AFB">
        <w:rPr>
          <w:rFonts w:asciiTheme="minorHAnsi" w:hAnsiTheme="minorHAnsi" w:cstheme="minorBidi"/>
          <w:sz w:val="22"/>
          <w:szCs w:val="22"/>
        </w:rPr>
        <w:t xml:space="preserve">requested </w:t>
      </w:r>
      <w:r w:rsidR="00CA318F" w:rsidRPr="00847AFB">
        <w:rPr>
          <w:rFonts w:asciiTheme="minorHAnsi" w:hAnsiTheme="minorHAnsi" w:cstheme="minorBidi"/>
          <w:sz w:val="22"/>
          <w:szCs w:val="22"/>
        </w:rPr>
        <w:t>by</w:t>
      </w:r>
      <w:r w:rsidR="009E6991" w:rsidRPr="00847AFB">
        <w:rPr>
          <w:rFonts w:asciiTheme="minorHAnsi" w:hAnsiTheme="minorHAnsi" w:cstheme="minorBidi"/>
          <w:sz w:val="22"/>
          <w:szCs w:val="22"/>
        </w:rPr>
        <w:t xml:space="preserve"> </w:t>
      </w:r>
      <w:r w:rsidR="00577DEA" w:rsidRPr="00847AFB">
        <w:rPr>
          <w:rFonts w:asciiTheme="minorHAnsi" w:hAnsiTheme="minorHAnsi" w:cstheme="minorBidi"/>
          <w:b/>
          <w:bCs/>
          <w:sz w:val="22"/>
          <w:szCs w:val="22"/>
        </w:rPr>
        <w:t xml:space="preserve">3pm </w:t>
      </w:r>
      <w:r w:rsidR="00847AFB" w:rsidRPr="00847AFB">
        <w:rPr>
          <w:rFonts w:asciiTheme="minorHAnsi" w:hAnsiTheme="minorHAnsi" w:cstheme="minorBidi"/>
          <w:b/>
          <w:bCs/>
          <w:sz w:val="22"/>
          <w:szCs w:val="22"/>
        </w:rPr>
        <w:t>Tuesday</w:t>
      </w:r>
      <w:r w:rsidR="00577DEA" w:rsidRPr="00847AFB">
        <w:rPr>
          <w:rFonts w:asciiTheme="minorHAnsi" w:hAnsiTheme="minorHAnsi" w:cstheme="minorBidi"/>
          <w:b/>
          <w:bCs/>
          <w:sz w:val="22"/>
          <w:szCs w:val="22"/>
        </w:rPr>
        <w:t xml:space="preserve"> </w:t>
      </w:r>
      <w:r w:rsidR="00847AFB" w:rsidRPr="00847AFB">
        <w:rPr>
          <w:rFonts w:asciiTheme="minorHAnsi" w:hAnsiTheme="minorHAnsi" w:cstheme="minorBidi"/>
          <w:b/>
          <w:bCs/>
          <w:sz w:val="22"/>
          <w:szCs w:val="22"/>
        </w:rPr>
        <w:t>15</w:t>
      </w:r>
      <w:r w:rsidR="00CC047E" w:rsidRPr="00847AFB">
        <w:rPr>
          <w:rFonts w:asciiTheme="minorHAnsi" w:hAnsiTheme="minorHAnsi" w:cstheme="minorBidi"/>
          <w:b/>
          <w:bCs/>
          <w:sz w:val="22"/>
          <w:szCs w:val="22"/>
        </w:rPr>
        <w:t xml:space="preserve"> August</w:t>
      </w:r>
      <w:r w:rsidR="00577DEA" w:rsidRPr="00847AFB">
        <w:rPr>
          <w:rFonts w:asciiTheme="minorHAnsi" w:hAnsiTheme="minorHAnsi" w:cstheme="minorBidi"/>
          <w:b/>
          <w:bCs/>
          <w:sz w:val="22"/>
          <w:szCs w:val="22"/>
        </w:rPr>
        <w:t xml:space="preserve"> 2023</w:t>
      </w:r>
      <w:r w:rsidR="009E6991" w:rsidRPr="00847AFB">
        <w:rPr>
          <w:rFonts w:asciiTheme="minorHAnsi" w:hAnsiTheme="minorHAnsi" w:cstheme="minorBidi"/>
          <w:sz w:val="22"/>
          <w:szCs w:val="22"/>
        </w:rPr>
        <w:t xml:space="preserve"> </w:t>
      </w:r>
      <w:r w:rsidR="00AE5862" w:rsidRPr="00847AFB">
        <w:rPr>
          <w:rFonts w:asciiTheme="minorHAnsi" w:hAnsiTheme="minorHAnsi" w:cstheme="minorBidi"/>
          <w:sz w:val="22"/>
          <w:szCs w:val="22"/>
        </w:rPr>
        <w:t xml:space="preserve">via email </w:t>
      </w:r>
      <w:r w:rsidRPr="00847AFB">
        <w:rPr>
          <w:rFonts w:asciiTheme="minorHAnsi" w:hAnsiTheme="minorHAnsi" w:cstheme="minorBidi"/>
          <w:sz w:val="22"/>
          <w:szCs w:val="22"/>
        </w:rPr>
        <w:t>to</w:t>
      </w:r>
      <w:r w:rsidR="00AE5862" w:rsidRPr="00847AFB">
        <w:rPr>
          <w:rFonts w:asciiTheme="minorHAnsi" w:hAnsiTheme="minorHAnsi" w:cstheme="minorBidi"/>
          <w:sz w:val="22"/>
          <w:szCs w:val="22"/>
        </w:rPr>
        <w:t xml:space="preserve"> </w:t>
      </w:r>
      <w:hyperlink r:id="rId10">
        <w:r w:rsidR="00AC20A5" w:rsidRPr="00847AFB">
          <w:rPr>
            <w:rStyle w:val="Hyperlink"/>
            <w:rFonts w:asciiTheme="minorHAnsi" w:hAnsiTheme="minorHAnsi" w:cstheme="minorBidi"/>
            <w:sz w:val="22"/>
            <w:szCs w:val="22"/>
          </w:rPr>
          <w:t>PHIconsultation@health.gov.au</w:t>
        </w:r>
      </w:hyperlink>
      <w:r w:rsidR="009E6991" w:rsidRPr="00847AFB">
        <w:rPr>
          <w:rFonts w:asciiTheme="minorHAnsi" w:hAnsiTheme="minorHAnsi" w:cstheme="minorBidi"/>
          <w:sz w:val="22"/>
          <w:szCs w:val="22"/>
        </w:rPr>
        <w:t xml:space="preserve"> </w:t>
      </w:r>
      <w:r w:rsidRPr="00847AFB">
        <w:rPr>
          <w:rFonts w:asciiTheme="minorHAnsi" w:hAnsiTheme="minorHAnsi" w:cstheme="minorBidi"/>
          <w:sz w:val="22"/>
          <w:szCs w:val="22"/>
        </w:rPr>
        <w:br/>
        <w:t>To continue to support stakeholder engagement the Department</w:t>
      </w:r>
      <w:r w:rsidRPr="00B666E0">
        <w:rPr>
          <w:rFonts w:asciiTheme="minorHAnsi" w:hAnsiTheme="minorHAnsi" w:cstheme="minorBidi"/>
          <w:sz w:val="22"/>
          <w:szCs w:val="22"/>
        </w:rPr>
        <w:t xml:space="preserve"> intends to publish responses. Respondents are asked to clearly identify any sensitive or commercial-in-confidence material that is not to be published.  </w:t>
      </w:r>
    </w:p>
    <w:p w14:paraId="189190B0" w14:textId="77777777" w:rsidR="00B666E0" w:rsidRPr="00B666E0" w:rsidRDefault="00B666E0" w:rsidP="00AD40FC">
      <w:pPr>
        <w:pStyle w:val="NormalWeb"/>
        <w:widowControl w:val="0"/>
        <w:spacing w:before="0" w:beforeAutospacing="0" w:after="0" w:afterAutospacing="0"/>
        <w:rPr>
          <w:rFonts w:asciiTheme="minorHAnsi" w:hAnsiTheme="minorHAnsi" w:cstheme="minorBidi"/>
          <w:b/>
          <w:sz w:val="22"/>
          <w:szCs w:val="22"/>
        </w:rPr>
      </w:pPr>
      <w:r>
        <w:rPr>
          <w:rFonts w:asciiTheme="minorHAnsi" w:hAnsiTheme="minorHAnsi" w:cstheme="minorBidi"/>
          <w:b/>
          <w:sz w:val="22"/>
          <w:szCs w:val="22"/>
        </w:rPr>
        <w:t>Guidance</w:t>
      </w:r>
    </w:p>
    <w:p w14:paraId="2368667D" w14:textId="77777777" w:rsidR="00B666E0" w:rsidRDefault="00B666E0" w:rsidP="00AD40FC">
      <w:pPr>
        <w:pStyle w:val="NormalWeb"/>
        <w:widowControl w:val="0"/>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 xml:space="preserve">For </w:t>
      </w:r>
      <w:r w:rsidRPr="00AD40FC">
        <w:rPr>
          <w:rFonts w:asciiTheme="minorHAnsi" w:hAnsiTheme="minorHAnsi" w:cstheme="minorBidi"/>
          <w:b/>
          <w:sz w:val="22"/>
          <w:szCs w:val="22"/>
          <w:u w:val="single"/>
        </w:rPr>
        <w:t>each</w:t>
      </w:r>
      <w:r>
        <w:rPr>
          <w:rFonts w:asciiTheme="minorHAnsi" w:hAnsiTheme="minorHAnsi" w:cstheme="minorBidi"/>
          <w:sz w:val="22"/>
          <w:szCs w:val="22"/>
        </w:rPr>
        <w:t xml:space="preserve"> Study feedback</w:t>
      </w:r>
      <w:r w:rsidRPr="00B666E0">
        <w:rPr>
          <w:rFonts w:asciiTheme="minorHAnsi" w:hAnsiTheme="minorHAnsi" w:cstheme="minorBidi"/>
          <w:sz w:val="22"/>
          <w:szCs w:val="22"/>
        </w:rPr>
        <w:t xml:space="preserve"> </w:t>
      </w:r>
      <w:r>
        <w:rPr>
          <w:rFonts w:asciiTheme="minorHAnsi" w:hAnsiTheme="minorHAnsi" w:cstheme="minorBidi"/>
          <w:sz w:val="22"/>
          <w:szCs w:val="22"/>
        </w:rPr>
        <w:t>is sought on</w:t>
      </w:r>
      <w:r w:rsidR="005373C8">
        <w:rPr>
          <w:rFonts w:asciiTheme="minorHAnsi" w:hAnsiTheme="minorHAnsi" w:cstheme="minorBidi"/>
          <w:sz w:val="22"/>
          <w:szCs w:val="22"/>
        </w:rPr>
        <w:t xml:space="preserve"> the following focus areas</w:t>
      </w:r>
      <w:r w:rsidRPr="00B666E0">
        <w:rPr>
          <w:rFonts w:asciiTheme="minorHAnsi" w:hAnsiTheme="minorHAnsi" w:cstheme="minorBidi"/>
          <w:sz w:val="22"/>
          <w:szCs w:val="22"/>
        </w:rPr>
        <w:t>:</w:t>
      </w:r>
    </w:p>
    <w:p w14:paraId="773085E0" w14:textId="77777777" w:rsidR="003C2F79" w:rsidRPr="009E6991" w:rsidRDefault="009E6991" w:rsidP="18359BA2">
      <w:pPr>
        <w:pStyle w:val="NoSpacing"/>
        <w:widowControl w:val="0"/>
        <w:numPr>
          <w:ilvl w:val="0"/>
          <w:numId w:val="31"/>
        </w:numPr>
        <w:spacing w:before="0" w:beforeAutospacing="0" w:after="120" w:afterAutospacing="0"/>
        <w:ind w:left="426" w:right="-472" w:hanging="426"/>
        <w:rPr>
          <w:rFonts w:asciiTheme="minorHAnsi" w:eastAsia="Times New Roman" w:hAnsiTheme="minorHAnsi" w:cstheme="minorBidi"/>
          <w:sz w:val="22"/>
          <w:szCs w:val="22"/>
        </w:rPr>
      </w:pPr>
      <w:r w:rsidRPr="18359BA2">
        <w:rPr>
          <w:rFonts w:asciiTheme="minorHAnsi" w:eastAsia="Times New Roman" w:hAnsiTheme="minorHAnsi" w:cstheme="minorBidi"/>
          <w:sz w:val="22"/>
          <w:szCs w:val="22"/>
        </w:rPr>
        <w:t xml:space="preserve">The validity of the </w:t>
      </w:r>
      <w:r w:rsidR="00B124C5" w:rsidRPr="18359BA2">
        <w:rPr>
          <w:rFonts w:asciiTheme="minorHAnsi" w:eastAsia="Times New Roman" w:hAnsiTheme="minorHAnsi" w:cstheme="minorBidi"/>
          <w:sz w:val="22"/>
          <w:szCs w:val="22"/>
        </w:rPr>
        <w:t>s</w:t>
      </w:r>
      <w:r w:rsidRPr="18359BA2">
        <w:rPr>
          <w:rFonts w:asciiTheme="minorHAnsi" w:eastAsia="Times New Roman" w:hAnsiTheme="minorHAnsi" w:cstheme="minorBidi"/>
          <w:sz w:val="22"/>
          <w:szCs w:val="22"/>
        </w:rPr>
        <w:t>tud</w:t>
      </w:r>
      <w:r w:rsidR="00B124C5" w:rsidRPr="18359BA2">
        <w:rPr>
          <w:rFonts w:asciiTheme="minorHAnsi" w:eastAsia="Times New Roman" w:hAnsiTheme="minorHAnsi" w:cstheme="minorBidi"/>
          <w:sz w:val="22"/>
          <w:szCs w:val="22"/>
        </w:rPr>
        <w:t>ies’</w:t>
      </w:r>
      <w:r w:rsidRPr="18359BA2">
        <w:rPr>
          <w:rFonts w:asciiTheme="minorHAnsi" w:eastAsia="Times New Roman" w:hAnsiTheme="minorHAnsi" w:cstheme="minorBidi"/>
          <w:sz w:val="22"/>
          <w:szCs w:val="22"/>
        </w:rPr>
        <w:t xml:space="preserve"> findings and how they relate to: </w:t>
      </w:r>
      <w:r w:rsidR="003F2C92" w:rsidRPr="18359BA2">
        <w:rPr>
          <w:rFonts w:asciiTheme="minorHAnsi" w:eastAsia="Times New Roman" w:hAnsiTheme="minorHAnsi" w:cstheme="minorBidi"/>
          <w:sz w:val="22"/>
          <w:szCs w:val="22"/>
        </w:rPr>
        <w:t>(i) current</w:t>
      </w:r>
      <w:r w:rsidR="00430900" w:rsidRPr="18359BA2">
        <w:rPr>
          <w:rFonts w:asciiTheme="minorHAnsi" w:eastAsia="Times New Roman" w:hAnsiTheme="minorHAnsi" w:cstheme="minorBidi"/>
          <w:sz w:val="22"/>
          <w:szCs w:val="22"/>
        </w:rPr>
        <w:t xml:space="preserve"> and </w:t>
      </w:r>
      <w:r w:rsidRPr="18359BA2">
        <w:rPr>
          <w:rFonts w:asciiTheme="minorHAnsi" w:eastAsia="Times New Roman" w:hAnsiTheme="minorHAnsi" w:cstheme="minorBidi"/>
          <w:sz w:val="22"/>
          <w:szCs w:val="22"/>
        </w:rPr>
        <w:t>future</w:t>
      </w:r>
      <w:r w:rsidR="00430900" w:rsidRPr="18359BA2">
        <w:rPr>
          <w:rFonts w:asciiTheme="minorHAnsi" w:eastAsia="Times New Roman" w:hAnsiTheme="minorHAnsi" w:cstheme="minorBidi"/>
          <w:sz w:val="22"/>
          <w:szCs w:val="22"/>
        </w:rPr>
        <w:t xml:space="preserve"> outcomes for policyholders;</w:t>
      </w:r>
      <w:r w:rsidR="003F2C92" w:rsidRPr="18359BA2">
        <w:rPr>
          <w:rFonts w:asciiTheme="minorHAnsi" w:eastAsia="Times New Roman" w:hAnsiTheme="minorHAnsi" w:cstheme="minorBidi"/>
          <w:sz w:val="22"/>
          <w:szCs w:val="22"/>
        </w:rPr>
        <w:t xml:space="preserve"> and (ii) </w:t>
      </w:r>
      <w:r w:rsidRPr="18359BA2">
        <w:rPr>
          <w:rFonts w:asciiTheme="minorHAnsi" w:eastAsia="Times New Roman" w:hAnsiTheme="minorHAnsi" w:cstheme="minorBidi"/>
          <w:sz w:val="22"/>
          <w:szCs w:val="22"/>
        </w:rPr>
        <w:t xml:space="preserve">current and future performance of </w:t>
      </w:r>
      <w:r w:rsidR="003F2C92" w:rsidRPr="18359BA2">
        <w:rPr>
          <w:rFonts w:asciiTheme="minorHAnsi" w:eastAsia="Times New Roman" w:hAnsiTheme="minorHAnsi" w:cstheme="minorBidi"/>
          <w:sz w:val="22"/>
          <w:szCs w:val="22"/>
        </w:rPr>
        <w:t>Australia’s private healthcare system</w:t>
      </w:r>
      <w:r w:rsidRPr="18359BA2">
        <w:rPr>
          <w:rFonts w:asciiTheme="minorHAnsi" w:eastAsia="Times New Roman" w:hAnsiTheme="minorHAnsi" w:cstheme="minorBidi"/>
          <w:sz w:val="22"/>
          <w:szCs w:val="22"/>
        </w:rPr>
        <w:t>.</w:t>
      </w:r>
    </w:p>
    <w:p w14:paraId="1B8CD29F" w14:textId="77777777" w:rsidR="009E6991" w:rsidRPr="00056BAD" w:rsidRDefault="009E6991" w:rsidP="18359BA2">
      <w:pPr>
        <w:pStyle w:val="NoSpacing"/>
        <w:widowControl w:val="0"/>
        <w:numPr>
          <w:ilvl w:val="0"/>
          <w:numId w:val="31"/>
        </w:numPr>
        <w:spacing w:before="0" w:beforeAutospacing="0" w:after="120" w:afterAutospacing="0"/>
        <w:ind w:left="426" w:right="-472" w:hanging="426"/>
        <w:rPr>
          <w:rFonts w:asciiTheme="minorHAnsi" w:eastAsia="Times New Roman" w:hAnsiTheme="minorHAnsi" w:cstheme="minorBidi"/>
          <w:sz w:val="22"/>
          <w:szCs w:val="22"/>
        </w:rPr>
      </w:pPr>
      <w:r w:rsidRPr="18359BA2">
        <w:rPr>
          <w:rFonts w:asciiTheme="minorHAnsi" w:eastAsia="Times New Roman" w:hAnsiTheme="minorHAnsi" w:cstheme="minorBidi"/>
          <w:sz w:val="22"/>
          <w:szCs w:val="22"/>
        </w:rPr>
        <w:t xml:space="preserve">The </w:t>
      </w:r>
      <w:r w:rsidR="00226D00" w:rsidRPr="18359BA2">
        <w:rPr>
          <w:rFonts w:asciiTheme="minorHAnsi" w:eastAsia="Times New Roman" w:hAnsiTheme="minorHAnsi" w:cstheme="minorBidi"/>
          <w:sz w:val="22"/>
          <w:szCs w:val="22"/>
        </w:rPr>
        <w:t>merits</w:t>
      </w:r>
      <w:r w:rsidRPr="18359BA2">
        <w:rPr>
          <w:rFonts w:asciiTheme="minorHAnsi" w:eastAsia="Times New Roman" w:hAnsiTheme="minorHAnsi" w:cstheme="minorBidi"/>
          <w:sz w:val="22"/>
          <w:szCs w:val="22"/>
        </w:rPr>
        <w:t xml:space="preserve"> of the </w:t>
      </w:r>
      <w:r w:rsidR="00B124C5" w:rsidRPr="18359BA2">
        <w:rPr>
          <w:rFonts w:asciiTheme="minorHAnsi" w:eastAsia="Times New Roman" w:hAnsiTheme="minorHAnsi" w:cstheme="minorBidi"/>
          <w:sz w:val="22"/>
          <w:szCs w:val="22"/>
        </w:rPr>
        <w:t>s</w:t>
      </w:r>
      <w:r w:rsidRPr="18359BA2">
        <w:rPr>
          <w:rFonts w:asciiTheme="minorHAnsi" w:eastAsia="Times New Roman" w:hAnsiTheme="minorHAnsi" w:cstheme="minorBidi"/>
          <w:sz w:val="22"/>
          <w:szCs w:val="22"/>
        </w:rPr>
        <w:t>tud</w:t>
      </w:r>
      <w:r w:rsidR="00B124C5" w:rsidRPr="18359BA2">
        <w:rPr>
          <w:rFonts w:asciiTheme="minorHAnsi" w:eastAsia="Times New Roman" w:hAnsiTheme="minorHAnsi" w:cstheme="minorBidi"/>
          <w:sz w:val="22"/>
          <w:szCs w:val="22"/>
        </w:rPr>
        <w:t>ies’</w:t>
      </w:r>
      <w:r w:rsidRPr="18359BA2">
        <w:rPr>
          <w:rFonts w:asciiTheme="minorHAnsi" w:eastAsia="Times New Roman" w:hAnsiTheme="minorHAnsi" w:cstheme="minorBidi"/>
          <w:sz w:val="22"/>
          <w:szCs w:val="22"/>
        </w:rPr>
        <w:t xml:space="preserve"> </w:t>
      </w:r>
      <w:r w:rsidR="00226D00" w:rsidRPr="18359BA2">
        <w:rPr>
          <w:rFonts w:asciiTheme="minorHAnsi" w:eastAsia="Times New Roman" w:hAnsiTheme="minorHAnsi" w:cstheme="minorBidi"/>
          <w:sz w:val="22"/>
          <w:szCs w:val="22"/>
        </w:rPr>
        <w:t>recommendation</w:t>
      </w:r>
      <w:r w:rsidRPr="18359BA2">
        <w:rPr>
          <w:rFonts w:asciiTheme="minorHAnsi" w:eastAsia="Times New Roman" w:hAnsiTheme="minorHAnsi" w:cstheme="minorBidi"/>
          <w:sz w:val="22"/>
          <w:szCs w:val="22"/>
        </w:rPr>
        <w:t xml:space="preserve">s and how they relate to: (i) </w:t>
      </w:r>
      <w:r w:rsidR="00F829B2" w:rsidRPr="18359BA2">
        <w:rPr>
          <w:rFonts w:asciiTheme="minorHAnsi" w:eastAsia="Times New Roman" w:hAnsiTheme="minorHAnsi" w:cstheme="minorBidi"/>
          <w:sz w:val="22"/>
          <w:szCs w:val="22"/>
        </w:rPr>
        <w:t>possible</w:t>
      </w:r>
      <w:r w:rsidRPr="18359BA2">
        <w:rPr>
          <w:rFonts w:asciiTheme="minorHAnsi" w:eastAsia="Times New Roman" w:hAnsiTheme="minorHAnsi" w:cstheme="minorBidi"/>
          <w:sz w:val="22"/>
          <w:szCs w:val="22"/>
        </w:rPr>
        <w:t xml:space="preserve"> outcomes for policyholders; and (ii) </w:t>
      </w:r>
      <w:r w:rsidR="00F829B2" w:rsidRPr="18359BA2">
        <w:rPr>
          <w:rFonts w:asciiTheme="minorHAnsi" w:eastAsia="Times New Roman" w:hAnsiTheme="minorHAnsi" w:cstheme="minorBidi"/>
          <w:sz w:val="22"/>
          <w:szCs w:val="22"/>
        </w:rPr>
        <w:t>the</w:t>
      </w:r>
      <w:r w:rsidRPr="18359BA2">
        <w:rPr>
          <w:rFonts w:asciiTheme="minorHAnsi" w:eastAsia="Times New Roman" w:hAnsiTheme="minorHAnsi" w:cstheme="minorBidi"/>
          <w:sz w:val="22"/>
          <w:szCs w:val="22"/>
        </w:rPr>
        <w:t xml:space="preserve"> future performance of Australia’s private healthcare system.</w:t>
      </w:r>
    </w:p>
    <w:p w14:paraId="0478D523" w14:textId="77777777" w:rsidR="00B124C5" w:rsidRPr="00B666E0" w:rsidRDefault="00B666E0" w:rsidP="00B666E0">
      <w:pPr>
        <w:pStyle w:val="NoSpacing"/>
        <w:widowControl w:val="0"/>
        <w:numPr>
          <w:ilvl w:val="0"/>
          <w:numId w:val="31"/>
        </w:numPr>
        <w:spacing w:before="0" w:beforeAutospacing="0" w:after="120" w:afterAutospacing="0"/>
        <w:ind w:left="426" w:right="-472" w:hanging="426"/>
        <w:rPr>
          <w:rFonts w:asciiTheme="minorHAnsi" w:eastAsia="Times New Roman" w:hAnsiTheme="minorHAnsi" w:cstheme="minorBidi"/>
          <w:sz w:val="22"/>
          <w:szCs w:val="22"/>
        </w:rPr>
      </w:pPr>
      <w:r>
        <w:rPr>
          <w:rFonts w:asciiTheme="minorHAnsi" w:eastAsia="Times New Roman" w:hAnsiTheme="minorHAnsi" w:cstheme="minorBidi"/>
          <w:sz w:val="22"/>
          <w:szCs w:val="22"/>
        </w:rPr>
        <w:t>The i</w:t>
      </w:r>
      <w:r w:rsidR="00E13F79" w:rsidRPr="18359BA2">
        <w:rPr>
          <w:rFonts w:asciiTheme="minorHAnsi" w:eastAsia="Times New Roman" w:hAnsiTheme="minorHAnsi" w:cstheme="minorBidi"/>
          <w:sz w:val="22"/>
          <w:szCs w:val="22"/>
        </w:rPr>
        <w:t xml:space="preserve">mplementation issues (including transition timing) </w:t>
      </w:r>
      <w:r>
        <w:rPr>
          <w:rFonts w:asciiTheme="minorHAnsi" w:eastAsia="Times New Roman" w:hAnsiTheme="minorHAnsi" w:cstheme="minorBidi"/>
          <w:sz w:val="22"/>
          <w:szCs w:val="22"/>
        </w:rPr>
        <w:t xml:space="preserve">that would need to be </w:t>
      </w:r>
      <w:proofErr w:type="gramStart"/>
      <w:r>
        <w:rPr>
          <w:rFonts w:asciiTheme="minorHAnsi" w:eastAsia="Times New Roman" w:hAnsiTheme="minorHAnsi" w:cstheme="minorBidi"/>
          <w:sz w:val="22"/>
          <w:szCs w:val="22"/>
        </w:rPr>
        <w:t>taken into account</w:t>
      </w:r>
      <w:proofErr w:type="gramEnd"/>
      <w:r>
        <w:rPr>
          <w:rFonts w:asciiTheme="minorHAnsi" w:eastAsia="Times New Roman" w:hAnsiTheme="minorHAnsi" w:cstheme="minorBidi"/>
          <w:sz w:val="22"/>
          <w:szCs w:val="22"/>
        </w:rPr>
        <w:t xml:space="preserve"> as part of Government’s considerations of the recommendations</w:t>
      </w:r>
      <w:r w:rsidR="001C351F" w:rsidRPr="18359BA2">
        <w:rPr>
          <w:rFonts w:asciiTheme="minorHAnsi" w:eastAsia="Times New Roman" w:hAnsiTheme="minorHAnsi" w:cstheme="minorBidi"/>
          <w:sz w:val="22"/>
          <w:szCs w:val="22"/>
        </w:rPr>
        <w:t>.</w:t>
      </w:r>
    </w:p>
    <w:p w14:paraId="2A955C1C" w14:textId="77777777" w:rsidR="00B124C5" w:rsidRPr="00B666E0" w:rsidRDefault="00B666E0" w:rsidP="00AD40FC">
      <w:pPr>
        <w:pStyle w:val="NormalWeb"/>
        <w:widowControl w:val="0"/>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 xml:space="preserve">Taking the Studies </w:t>
      </w:r>
      <w:r w:rsidRPr="00AD40FC">
        <w:rPr>
          <w:rFonts w:asciiTheme="minorHAnsi" w:hAnsiTheme="minorHAnsi" w:cstheme="minorBidi"/>
          <w:b/>
          <w:sz w:val="22"/>
          <w:szCs w:val="22"/>
          <w:u w:val="single"/>
        </w:rPr>
        <w:t>as a package</w:t>
      </w:r>
      <w:r>
        <w:rPr>
          <w:rFonts w:asciiTheme="minorHAnsi" w:hAnsiTheme="minorHAnsi" w:cstheme="minorBidi"/>
          <w:sz w:val="22"/>
          <w:szCs w:val="22"/>
        </w:rPr>
        <w:t>, f</w:t>
      </w:r>
      <w:r w:rsidR="00B124C5" w:rsidRPr="00B666E0">
        <w:rPr>
          <w:rFonts w:asciiTheme="minorHAnsi" w:hAnsiTheme="minorHAnsi" w:cstheme="minorBidi"/>
          <w:sz w:val="22"/>
          <w:szCs w:val="22"/>
        </w:rPr>
        <w:t>eedback</w:t>
      </w:r>
      <w:r>
        <w:rPr>
          <w:rFonts w:asciiTheme="minorHAnsi" w:hAnsiTheme="minorHAnsi" w:cstheme="minorBidi"/>
          <w:sz w:val="22"/>
          <w:szCs w:val="22"/>
        </w:rPr>
        <w:t xml:space="preserve"> is sought on:</w:t>
      </w:r>
    </w:p>
    <w:p w14:paraId="3EFB6115" w14:textId="77777777" w:rsidR="00B124C5" w:rsidRPr="00B124C5" w:rsidRDefault="00B666E0" w:rsidP="00B666E0">
      <w:pPr>
        <w:pStyle w:val="NoSpacing"/>
        <w:widowControl w:val="0"/>
        <w:numPr>
          <w:ilvl w:val="0"/>
          <w:numId w:val="31"/>
        </w:numPr>
        <w:spacing w:before="0" w:beforeAutospacing="0" w:after="120" w:afterAutospacing="0"/>
        <w:ind w:left="426" w:right="-613" w:hanging="426"/>
        <w:rPr>
          <w:rFonts w:asciiTheme="minorHAnsi" w:eastAsia="Times New Roman" w:hAnsiTheme="minorHAnsi" w:cstheme="minorBidi"/>
          <w:sz w:val="22"/>
          <w:szCs w:val="22"/>
        </w:rPr>
      </w:pPr>
      <w:r>
        <w:rPr>
          <w:rFonts w:asciiTheme="minorHAnsi" w:eastAsia="Times New Roman" w:hAnsiTheme="minorHAnsi" w:cstheme="minorBidi"/>
          <w:sz w:val="22"/>
          <w:szCs w:val="22"/>
        </w:rPr>
        <w:t>The relative priorities and inter-dependencies of the recommendations. In responding, consideration of the recommendations of</w:t>
      </w:r>
      <w:r w:rsidR="00B124C5" w:rsidRPr="5F5A4D51">
        <w:rPr>
          <w:rFonts w:asciiTheme="minorHAnsi" w:eastAsia="Times New Roman" w:hAnsiTheme="minorHAnsi" w:cstheme="minorBidi"/>
          <w:sz w:val="22"/>
          <w:szCs w:val="22"/>
        </w:rPr>
        <w:t xml:space="preserve"> </w:t>
      </w:r>
      <w:hyperlink r:id="rId11">
        <w:r w:rsidR="00B124C5" w:rsidRPr="5F5A4D51">
          <w:rPr>
            <w:rStyle w:val="Hyperlink"/>
            <w:rFonts w:asciiTheme="minorHAnsi" w:eastAsia="Times New Roman" w:hAnsiTheme="minorHAnsi" w:cstheme="minorBidi"/>
            <w:sz w:val="22"/>
            <w:szCs w:val="22"/>
          </w:rPr>
          <w:t>Finity’s Risk Equalisation report</w:t>
        </w:r>
      </w:hyperlink>
      <w:r w:rsidR="00B124C5" w:rsidRPr="5F5A4D51">
        <w:rPr>
          <w:rFonts w:asciiTheme="minorHAnsi" w:eastAsia="Times New Roman" w:hAnsiTheme="minorHAnsi" w:cstheme="minorBidi"/>
          <w:sz w:val="22"/>
          <w:szCs w:val="22"/>
        </w:rPr>
        <w:t xml:space="preserve"> </w:t>
      </w:r>
      <w:r>
        <w:rPr>
          <w:rFonts w:asciiTheme="minorHAnsi" w:eastAsia="Times New Roman" w:hAnsiTheme="minorHAnsi" w:cstheme="minorBidi"/>
          <w:sz w:val="22"/>
          <w:szCs w:val="22"/>
        </w:rPr>
        <w:t>(September</w:t>
      </w:r>
      <w:r w:rsidR="00B124C5" w:rsidRPr="5F5A4D51">
        <w:rPr>
          <w:rFonts w:asciiTheme="minorHAnsi" w:eastAsia="Times New Roman" w:hAnsiTheme="minorHAnsi" w:cstheme="minorBidi"/>
          <w:sz w:val="22"/>
          <w:szCs w:val="22"/>
        </w:rPr>
        <w:t xml:space="preserve"> 2022</w:t>
      </w:r>
      <w:r>
        <w:rPr>
          <w:rFonts w:asciiTheme="minorHAnsi" w:eastAsia="Times New Roman" w:hAnsiTheme="minorHAnsi" w:cstheme="minorBidi"/>
          <w:sz w:val="22"/>
          <w:szCs w:val="22"/>
        </w:rPr>
        <w:t>) is welcome</w:t>
      </w:r>
      <w:r w:rsidR="00B124C5" w:rsidRPr="5F5A4D51">
        <w:rPr>
          <w:rFonts w:asciiTheme="minorHAnsi" w:eastAsia="Times New Roman" w:hAnsiTheme="minorHAnsi" w:cstheme="minorBidi"/>
          <w:sz w:val="22"/>
          <w:szCs w:val="22"/>
        </w:rPr>
        <w:t xml:space="preserve">. </w:t>
      </w:r>
    </w:p>
    <w:p w14:paraId="4CC84456" w14:textId="77777777" w:rsidR="00B124C5" w:rsidRDefault="00B666E0" w:rsidP="18359BA2">
      <w:pPr>
        <w:pStyle w:val="NoSpacing"/>
        <w:widowControl w:val="0"/>
        <w:numPr>
          <w:ilvl w:val="0"/>
          <w:numId w:val="31"/>
        </w:numPr>
        <w:spacing w:before="0" w:beforeAutospacing="0" w:after="120" w:afterAutospacing="0"/>
        <w:ind w:left="426" w:right="-472" w:hanging="426"/>
        <w:rPr>
          <w:rFonts w:asciiTheme="minorHAnsi" w:eastAsia="Times New Roman" w:hAnsiTheme="minorHAnsi" w:cstheme="minorBidi"/>
          <w:sz w:val="22"/>
          <w:szCs w:val="22"/>
        </w:rPr>
      </w:pPr>
      <w:r>
        <w:rPr>
          <w:rFonts w:asciiTheme="minorHAnsi" w:eastAsia="Times New Roman" w:hAnsiTheme="minorHAnsi" w:cstheme="minorBidi"/>
          <w:sz w:val="22"/>
          <w:szCs w:val="22"/>
        </w:rPr>
        <w:t>Additional policy and regulatory i</w:t>
      </w:r>
      <w:r w:rsidR="00B124C5" w:rsidRPr="18359BA2">
        <w:rPr>
          <w:rFonts w:asciiTheme="minorHAnsi" w:eastAsia="Times New Roman" w:hAnsiTheme="minorHAnsi" w:cstheme="minorBidi"/>
          <w:sz w:val="22"/>
          <w:szCs w:val="22"/>
        </w:rPr>
        <w:t>ssues</w:t>
      </w:r>
      <w:r>
        <w:rPr>
          <w:rFonts w:asciiTheme="minorHAnsi" w:eastAsia="Times New Roman" w:hAnsiTheme="minorHAnsi" w:cstheme="minorBidi"/>
          <w:sz w:val="22"/>
          <w:szCs w:val="22"/>
        </w:rPr>
        <w:t xml:space="preserve">, not canvassed in the Studies </w:t>
      </w:r>
      <w:r w:rsidR="00B124C5" w:rsidRPr="18359BA2">
        <w:rPr>
          <w:rFonts w:asciiTheme="minorHAnsi" w:eastAsia="Times New Roman" w:hAnsiTheme="minorHAnsi" w:cstheme="minorBidi"/>
          <w:sz w:val="22"/>
          <w:szCs w:val="22"/>
        </w:rPr>
        <w:t xml:space="preserve">that </w:t>
      </w:r>
      <w:r>
        <w:rPr>
          <w:rFonts w:asciiTheme="minorHAnsi" w:eastAsia="Times New Roman" w:hAnsiTheme="minorHAnsi" w:cstheme="minorBidi"/>
          <w:sz w:val="22"/>
          <w:szCs w:val="22"/>
        </w:rPr>
        <w:t xml:space="preserve">may need to be </w:t>
      </w:r>
      <w:proofErr w:type="gramStart"/>
      <w:r w:rsidRPr="00B666E0">
        <w:rPr>
          <w:rFonts w:asciiTheme="minorHAnsi" w:eastAsia="Times New Roman" w:hAnsiTheme="minorHAnsi" w:cstheme="minorBidi"/>
          <w:sz w:val="22"/>
          <w:szCs w:val="22"/>
        </w:rPr>
        <w:t>taken into account</w:t>
      </w:r>
      <w:proofErr w:type="gramEnd"/>
      <w:r w:rsidRPr="00B666E0">
        <w:rPr>
          <w:rFonts w:asciiTheme="minorHAnsi" w:eastAsia="Times New Roman" w:hAnsiTheme="minorHAnsi" w:cstheme="minorBidi"/>
          <w:sz w:val="22"/>
          <w:szCs w:val="22"/>
        </w:rPr>
        <w:t xml:space="preserve"> as part of Government’s considerations of the recommendations.</w:t>
      </w:r>
    </w:p>
    <w:p w14:paraId="39F26BB0" w14:textId="77777777" w:rsidR="00B124C5" w:rsidRPr="00B666E0" w:rsidRDefault="00B666E0" w:rsidP="18359BA2">
      <w:pPr>
        <w:pStyle w:val="NoSpacing"/>
        <w:widowControl w:val="0"/>
        <w:numPr>
          <w:ilvl w:val="0"/>
          <w:numId w:val="31"/>
        </w:numPr>
        <w:spacing w:before="0" w:beforeAutospacing="0" w:after="120" w:afterAutospacing="0"/>
        <w:ind w:left="426" w:right="-472" w:hanging="426"/>
        <w:rPr>
          <w:rFonts w:asciiTheme="minorHAnsi" w:eastAsia="Times New Roman" w:hAnsiTheme="minorHAnsi" w:cstheme="minorBidi"/>
          <w:sz w:val="22"/>
          <w:szCs w:val="22"/>
        </w:rPr>
      </w:pPr>
      <w:r>
        <w:rPr>
          <w:rFonts w:asciiTheme="minorHAnsi" w:eastAsia="Times New Roman" w:hAnsiTheme="minorHAnsi" w:cstheme="minorBidi"/>
          <w:sz w:val="22"/>
          <w:szCs w:val="22"/>
        </w:rPr>
        <w:t xml:space="preserve">The readiness of participants in the private health sector </w:t>
      </w:r>
      <w:r w:rsidRPr="00B666E0">
        <w:rPr>
          <w:rFonts w:asciiTheme="minorHAnsi" w:eastAsia="Times New Roman" w:hAnsiTheme="minorHAnsi" w:cstheme="minorBidi"/>
          <w:sz w:val="22"/>
          <w:szCs w:val="22"/>
        </w:rPr>
        <w:t xml:space="preserve">to </w:t>
      </w:r>
      <w:r>
        <w:rPr>
          <w:rFonts w:asciiTheme="minorHAnsi" w:eastAsia="Times New Roman" w:hAnsiTheme="minorHAnsi" w:cstheme="minorBidi"/>
          <w:sz w:val="22"/>
          <w:szCs w:val="22"/>
        </w:rPr>
        <w:t xml:space="preserve">work constructively together to the </w:t>
      </w:r>
      <w:r w:rsidRPr="00B666E0">
        <w:rPr>
          <w:rFonts w:asciiTheme="minorHAnsi" w:eastAsia="Times New Roman" w:hAnsiTheme="minorHAnsi" w:cstheme="minorBidi"/>
          <w:sz w:val="22"/>
          <w:szCs w:val="22"/>
        </w:rPr>
        <w:t xml:space="preserve">benefit </w:t>
      </w:r>
      <w:r>
        <w:rPr>
          <w:rFonts w:asciiTheme="minorHAnsi" w:eastAsia="Times New Roman" w:hAnsiTheme="minorHAnsi" w:cstheme="minorBidi"/>
          <w:sz w:val="22"/>
          <w:szCs w:val="22"/>
        </w:rPr>
        <w:t>of policyholders and the performance of</w:t>
      </w:r>
      <w:r w:rsidRPr="00B666E0">
        <w:rPr>
          <w:rFonts w:asciiTheme="minorHAnsi" w:eastAsia="Times New Roman" w:hAnsiTheme="minorHAnsi" w:cstheme="minorBidi"/>
          <w:sz w:val="22"/>
          <w:szCs w:val="22"/>
        </w:rPr>
        <w:t xml:space="preserve"> Australia’s private healthcare system</w:t>
      </w:r>
      <w:r>
        <w:rPr>
          <w:rFonts w:asciiTheme="minorHAnsi" w:eastAsia="Times New Roman" w:hAnsiTheme="minorHAnsi" w:cstheme="minorBidi"/>
          <w:sz w:val="22"/>
          <w:szCs w:val="22"/>
        </w:rPr>
        <w:t>, and whole of sector mechanisms that can facilitate this</w:t>
      </w:r>
      <w:r w:rsidRPr="00B666E0">
        <w:rPr>
          <w:rFonts w:asciiTheme="minorHAnsi" w:eastAsia="Times New Roman" w:hAnsiTheme="minorHAnsi" w:cstheme="minorBidi"/>
          <w:sz w:val="22"/>
          <w:szCs w:val="22"/>
        </w:rPr>
        <w:t xml:space="preserve"> </w:t>
      </w:r>
      <w:r>
        <w:rPr>
          <w:rFonts w:asciiTheme="minorHAnsi" w:eastAsia="Times New Roman" w:hAnsiTheme="minorHAnsi" w:cstheme="minorBidi"/>
          <w:sz w:val="22"/>
          <w:szCs w:val="22"/>
        </w:rPr>
        <w:t>outcome.</w:t>
      </w:r>
    </w:p>
    <w:sectPr w:rsidR="00B124C5" w:rsidRPr="00B666E0" w:rsidSect="00EF6CE8">
      <w:headerReference w:type="even" r:id="rId12"/>
      <w:headerReference w:type="default" r:id="rId13"/>
      <w:footerReference w:type="default" r:id="rId14"/>
      <w:headerReference w:type="first" r:id="rId15"/>
      <w:pgSz w:w="11906" w:h="16838"/>
      <w:pgMar w:top="567" w:right="1418" w:bottom="567"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B8BE" w14:textId="77777777" w:rsidR="008979AE" w:rsidRDefault="008979AE" w:rsidP="004D507B">
      <w:pPr>
        <w:spacing w:after="0" w:line="240" w:lineRule="auto"/>
      </w:pPr>
      <w:r>
        <w:separator/>
      </w:r>
    </w:p>
  </w:endnote>
  <w:endnote w:type="continuationSeparator" w:id="0">
    <w:p w14:paraId="0E9D7EBF" w14:textId="77777777" w:rsidR="008979AE" w:rsidRDefault="008979AE" w:rsidP="004D507B">
      <w:pPr>
        <w:spacing w:after="0" w:line="240" w:lineRule="auto"/>
      </w:pPr>
      <w:r>
        <w:continuationSeparator/>
      </w:r>
    </w:p>
  </w:endnote>
  <w:endnote w:type="continuationNotice" w:id="1">
    <w:p w14:paraId="5F9FCA36" w14:textId="77777777" w:rsidR="008979AE" w:rsidRDefault="00897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252747"/>
      <w:docPartObj>
        <w:docPartGallery w:val="Page Numbers (Bottom of Page)"/>
        <w:docPartUnique/>
      </w:docPartObj>
    </w:sdtPr>
    <w:sdtEndPr>
      <w:rPr>
        <w:noProof/>
      </w:rPr>
    </w:sdtEndPr>
    <w:sdtContent>
      <w:p w14:paraId="0E835D84" w14:textId="77777777" w:rsidR="004D507B" w:rsidRDefault="004D507B" w:rsidP="004D50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6FC8" w14:textId="77777777" w:rsidR="008979AE" w:rsidRDefault="008979AE" w:rsidP="004D507B">
      <w:pPr>
        <w:spacing w:after="0" w:line="240" w:lineRule="auto"/>
      </w:pPr>
      <w:r>
        <w:separator/>
      </w:r>
    </w:p>
  </w:footnote>
  <w:footnote w:type="continuationSeparator" w:id="0">
    <w:p w14:paraId="0CAB0ABE" w14:textId="77777777" w:rsidR="008979AE" w:rsidRDefault="008979AE" w:rsidP="004D507B">
      <w:pPr>
        <w:spacing w:after="0" w:line="240" w:lineRule="auto"/>
      </w:pPr>
      <w:r>
        <w:continuationSeparator/>
      </w:r>
    </w:p>
  </w:footnote>
  <w:footnote w:type="continuationNotice" w:id="1">
    <w:p w14:paraId="43A8DD6A" w14:textId="77777777" w:rsidR="008979AE" w:rsidRDefault="008979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128" w14:textId="77777777" w:rsidR="00EF6CE8" w:rsidRDefault="009267D9">
    <w:pPr>
      <w:pStyle w:val="Header"/>
    </w:pPr>
    <w:r>
      <w:rPr>
        <w:noProof/>
      </w:rPr>
      <w:pict w14:anchorId="6E7A4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2876" o:spid="_x0000_s1032" type="#_x0000_t75" style="position:absolute;margin-left:0;margin-top:0;width:453.35pt;height:346.15pt;z-index:-251657216;mso-position-horizontal:center;mso-position-horizontal-relative:margin;mso-position-vertical:center;mso-position-vertical-relative:margin" o:allowincell="f">
          <v:imagedata r:id="rId1" o:title="DRAF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EAEB" w14:textId="77777777" w:rsidR="00CE3EB6" w:rsidRDefault="009267D9" w:rsidP="00CE3EB6">
    <w:pPr>
      <w:pStyle w:val="Header"/>
      <w:jc w:val="center"/>
    </w:pPr>
    <w:r>
      <w:rPr>
        <w:noProof/>
      </w:rPr>
      <w:pict w14:anchorId="63247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2877" o:spid="_x0000_s1033" type="#_x0000_t75" style="position:absolute;left:0;text-align:left;margin-left:0;margin-top:0;width:453.35pt;height:346.15pt;z-index:-251656192;mso-position-horizontal:center;mso-position-horizontal-relative:margin;mso-position-vertical:center;mso-position-vertical-relative:margin" o:allowincell="f">
          <v:imagedata r:id="rId1" o:title="DRAFT" gain="19661f" blacklevel="22938f"/>
          <w10:wrap anchorx="margin" anchory="margin"/>
        </v:shape>
      </w:pict>
    </w:r>
    <w:r w:rsidR="00CE3EB6">
      <w:rPr>
        <w:noProof/>
      </w:rPr>
      <w:drawing>
        <wp:inline distT="0" distB="0" distL="0" distR="0" wp14:anchorId="0A0D0C30" wp14:editId="7AFBA31A">
          <wp:extent cx="1280160" cy="9382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938273"/>
                  </a:xfrm>
                  <a:prstGeom prst="rect">
                    <a:avLst/>
                  </a:prstGeom>
                  <a:noFill/>
                  <a:ln>
                    <a:noFill/>
                  </a:ln>
                </pic:spPr>
              </pic:pic>
            </a:graphicData>
          </a:graphic>
        </wp:inline>
      </w:drawing>
    </w:r>
  </w:p>
  <w:p w14:paraId="7A0DFDDA" w14:textId="77777777" w:rsidR="00CE3EB6" w:rsidRDefault="00CE3EB6" w:rsidP="00CE3EB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B3DF" w14:textId="77777777" w:rsidR="00EF6CE8" w:rsidRDefault="009267D9">
    <w:pPr>
      <w:pStyle w:val="Header"/>
    </w:pPr>
    <w:r>
      <w:rPr>
        <w:noProof/>
      </w:rPr>
      <w:pict w14:anchorId="61812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2875" o:spid="_x0000_s1031" type="#_x0000_t75" style="position:absolute;margin-left:0;margin-top:0;width:453.35pt;height:346.15pt;z-index:-251658240;mso-position-horizontal:center;mso-position-horizontal-relative:margin;mso-position-vertical:center;mso-position-vertical-relative:margin" o:allowincell="f">
          <v:imagedata r:id="rId1" o:title="DRAF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003"/>
    <w:multiLevelType w:val="hybridMultilevel"/>
    <w:tmpl w:val="3D3EE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6717A"/>
    <w:multiLevelType w:val="hybridMultilevel"/>
    <w:tmpl w:val="A7002DB2"/>
    <w:lvl w:ilvl="0" w:tplc="5E3EFFD2">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D16E8"/>
    <w:multiLevelType w:val="multilevel"/>
    <w:tmpl w:val="ECD071F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0A2B3F0F"/>
    <w:multiLevelType w:val="hybridMultilevel"/>
    <w:tmpl w:val="BBB00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5F0978"/>
    <w:multiLevelType w:val="hybridMultilevel"/>
    <w:tmpl w:val="37701B4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DCD2929"/>
    <w:multiLevelType w:val="hybridMultilevel"/>
    <w:tmpl w:val="98C8DEE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3079C3"/>
    <w:multiLevelType w:val="hybridMultilevel"/>
    <w:tmpl w:val="2060599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6B3919"/>
    <w:multiLevelType w:val="hybridMultilevel"/>
    <w:tmpl w:val="79BEF87E"/>
    <w:lvl w:ilvl="0" w:tplc="2FD66F6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000D0C"/>
    <w:multiLevelType w:val="hybridMultilevel"/>
    <w:tmpl w:val="79BEF87E"/>
    <w:lvl w:ilvl="0" w:tplc="2FD66F6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AD50FC"/>
    <w:multiLevelType w:val="hybridMultilevel"/>
    <w:tmpl w:val="52667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B7E60"/>
    <w:multiLevelType w:val="hybridMultilevel"/>
    <w:tmpl w:val="11E4B28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66A7852"/>
    <w:multiLevelType w:val="hybridMultilevel"/>
    <w:tmpl w:val="75A01CBC"/>
    <w:lvl w:ilvl="0" w:tplc="DC2AC8CA">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2C099E"/>
    <w:multiLevelType w:val="multilevel"/>
    <w:tmpl w:val="0CBE324C"/>
    <w:lvl w:ilvl="0">
      <w:start w:val="4"/>
      <w:numFmt w:val="decimal"/>
      <w:lvlText w:val="%1"/>
      <w:lvlJc w:val="left"/>
      <w:pPr>
        <w:ind w:left="720" w:hanging="720"/>
      </w:pPr>
      <w:rPr>
        <w:rFonts w:hint="default"/>
        <w:color w:val="44546A" w:themeColor="text2"/>
      </w:rPr>
    </w:lvl>
    <w:lvl w:ilvl="1">
      <w:numFmt w:val="bullet"/>
      <w:lvlText w:val="•"/>
      <w:lvlJc w:val="left"/>
      <w:pPr>
        <w:ind w:left="1200" w:hanging="480"/>
      </w:pPr>
      <w:rPr>
        <w:rFonts w:ascii="Times New Roman" w:hAnsi="Times New Roman" w:hint="default"/>
        <w:color w:val="44546A" w:themeColor="text2"/>
      </w:rPr>
    </w:lvl>
    <w:lvl w:ilvl="2">
      <w:start w:val="1"/>
      <w:numFmt w:val="lowerRoman"/>
      <w:lvlText w:val="%3"/>
      <w:lvlJc w:val="left"/>
      <w:pPr>
        <w:ind w:left="1700" w:hanging="500"/>
      </w:pPr>
      <w:rPr>
        <w:rFonts w:hint="default"/>
        <w:color w:val="44546A" w:themeColor="text2"/>
      </w:rPr>
    </w:lvl>
    <w:lvl w:ilvl="3">
      <w:start w:val="1"/>
      <w:numFmt w:val="none"/>
      <w:lvlText w:val=""/>
      <w:lvlJc w:val="left"/>
      <w:pPr>
        <w:ind w:left="2835"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13" w15:restartNumberingAfterBreak="0">
    <w:nsid w:val="361C1B3B"/>
    <w:multiLevelType w:val="multilevel"/>
    <w:tmpl w:val="156C1DB0"/>
    <w:lvl w:ilvl="0">
      <w:start w:val="9"/>
      <w:numFmt w:val="decimal"/>
      <w:lvlText w:val="%1"/>
      <w:lvlJc w:val="left"/>
      <w:pPr>
        <w:ind w:left="720" w:hanging="720"/>
      </w:pPr>
      <w:rPr>
        <w:rFonts w:hint="default"/>
        <w:color w:val="44546A" w:themeColor="text2"/>
      </w:rPr>
    </w:lvl>
    <w:lvl w:ilvl="1">
      <w:numFmt w:val="bullet"/>
      <w:lvlText w:val="•"/>
      <w:lvlJc w:val="left"/>
      <w:pPr>
        <w:ind w:left="1200" w:hanging="480"/>
      </w:pPr>
      <w:rPr>
        <w:rFonts w:ascii="Times New Roman" w:hAnsi="Times New Roman" w:hint="default"/>
        <w:color w:val="44546A" w:themeColor="text2"/>
      </w:rPr>
    </w:lvl>
    <w:lvl w:ilvl="2">
      <w:start w:val="1"/>
      <w:numFmt w:val="lowerRoman"/>
      <w:lvlText w:val="%3"/>
      <w:lvlJc w:val="left"/>
      <w:pPr>
        <w:ind w:left="1700" w:hanging="500"/>
      </w:pPr>
      <w:rPr>
        <w:rFonts w:hint="default"/>
        <w:color w:val="44546A" w:themeColor="text2"/>
      </w:rPr>
    </w:lvl>
    <w:lvl w:ilvl="3">
      <w:start w:val="1"/>
      <w:numFmt w:val="none"/>
      <w:lvlText w:val=""/>
      <w:lvlJc w:val="left"/>
      <w:pPr>
        <w:ind w:left="2835"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14" w15:restartNumberingAfterBreak="0">
    <w:nsid w:val="36DD03CD"/>
    <w:multiLevelType w:val="multilevel"/>
    <w:tmpl w:val="CEF4E444"/>
    <w:lvl w:ilvl="0">
      <w:start w:val="2"/>
      <w:numFmt w:val="decimal"/>
      <w:lvlText w:val="%1"/>
      <w:lvlJc w:val="left"/>
      <w:pPr>
        <w:ind w:left="720" w:hanging="720"/>
      </w:pPr>
      <w:rPr>
        <w:rFonts w:hint="default"/>
        <w:b w:val="0"/>
        <w:color w:val="44546A" w:themeColor="text2"/>
      </w:rPr>
    </w:lvl>
    <w:lvl w:ilvl="1">
      <w:numFmt w:val="bullet"/>
      <w:lvlText w:val="•"/>
      <w:lvlJc w:val="left"/>
      <w:pPr>
        <w:ind w:left="1200" w:hanging="480"/>
      </w:pPr>
      <w:rPr>
        <w:rFonts w:ascii="Times New Roman" w:hAnsi="Times New Roman" w:hint="default"/>
        <w:color w:val="44546A" w:themeColor="text2"/>
      </w:rPr>
    </w:lvl>
    <w:lvl w:ilvl="2">
      <w:start w:val="1"/>
      <w:numFmt w:val="lowerRoman"/>
      <w:lvlText w:val="%3"/>
      <w:lvlJc w:val="left"/>
      <w:pPr>
        <w:ind w:left="1700" w:hanging="500"/>
      </w:pPr>
      <w:rPr>
        <w:rFonts w:hint="default"/>
        <w:color w:val="44546A" w:themeColor="text2"/>
      </w:rPr>
    </w:lvl>
    <w:lvl w:ilvl="3">
      <w:start w:val="1"/>
      <w:numFmt w:val="none"/>
      <w:lvlText w:val=""/>
      <w:lvlJc w:val="left"/>
      <w:pPr>
        <w:ind w:left="2835"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15" w15:restartNumberingAfterBreak="0">
    <w:nsid w:val="3E3C4058"/>
    <w:multiLevelType w:val="hybridMultilevel"/>
    <w:tmpl w:val="4130464E"/>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F4C19C5"/>
    <w:multiLevelType w:val="hybridMultilevel"/>
    <w:tmpl w:val="A3100F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5F7181"/>
    <w:multiLevelType w:val="hybridMultilevel"/>
    <w:tmpl w:val="5B82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D657F9"/>
    <w:multiLevelType w:val="hybridMultilevel"/>
    <w:tmpl w:val="79BEF87E"/>
    <w:lvl w:ilvl="0" w:tplc="2FD66F6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6714CF"/>
    <w:multiLevelType w:val="hybridMultilevel"/>
    <w:tmpl w:val="B14A0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284C13"/>
    <w:multiLevelType w:val="hybridMultilevel"/>
    <w:tmpl w:val="A38E0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95E57"/>
    <w:multiLevelType w:val="hybridMultilevel"/>
    <w:tmpl w:val="21D2CC46"/>
    <w:lvl w:ilvl="0" w:tplc="B20C0AEA">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6F5628"/>
    <w:multiLevelType w:val="hybridMultilevel"/>
    <w:tmpl w:val="79BEF87E"/>
    <w:lvl w:ilvl="0" w:tplc="2FD66F6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E132DF"/>
    <w:multiLevelType w:val="hybridMultilevel"/>
    <w:tmpl w:val="9984FB5E"/>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25C62F5"/>
    <w:multiLevelType w:val="hybridMultilevel"/>
    <w:tmpl w:val="25C45DFA"/>
    <w:lvl w:ilvl="0" w:tplc="17F8D00C">
      <w:numFmt w:val="bullet"/>
      <w:lvlText w:val=""/>
      <w:lvlJc w:val="left"/>
      <w:pPr>
        <w:ind w:left="36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400EE8"/>
    <w:multiLevelType w:val="hybridMultilevel"/>
    <w:tmpl w:val="F5A2104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57D84C03"/>
    <w:multiLevelType w:val="multilevel"/>
    <w:tmpl w:val="8C203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400325"/>
    <w:multiLevelType w:val="hybridMultilevel"/>
    <w:tmpl w:val="87041DB8"/>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8" w15:restartNumberingAfterBreak="0">
    <w:nsid w:val="67306F60"/>
    <w:multiLevelType w:val="multilevel"/>
    <w:tmpl w:val="B3AC51D4"/>
    <w:lvl w:ilvl="0">
      <w:start w:val="1"/>
      <w:numFmt w:val="decimal"/>
      <w:pStyle w:val="ListNumber"/>
      <w:lvlText w:val="%1"/>
      <w:lvlJc w:val="left"/>
      <w:pPr>
        <w:ind w:left="720" w:hanging="720"/>
      </w:pPr>
      <w:rPr>
        <w:rFonts w:hint="default"/>
        <w:b w:val="0"/>
        <w:color w:val="44546A" w:themeColor="text2"/>
      </w:rPr>
    </w:lvl>
    <w:lvl w:ilvl="1">
      <w:numFmt w:val="bullet"/>
      <w:pStyle w:val="ListNumber2"/>
      <w:lvlText w:val="•"/>
      <w:lvlJc w:val="left"/>
      <w:pPr>
        <w:ind w:left="1200" w:hanging="480"/>
      </w:pPr>
      <w:rPr>
        <w:rFonts w:ascii="Times New Roman" w:hAnsi="Times New Roman" w:hint="default"/>
        <w:color w:val="44546A" w:themeColor="text2"/>
      </w:rPr>
    </w:lvl>
    <w:lvl w:ilvl="2">
      <w:start w:val="1"/>
      <w:numFmt w:val="lowerRoman"/>
      <w:pStyle w:val="ListNumber3"/>
      <w:lvlText w:val="%3"/>
      <w:lvlJc w:val="left"/>
      <w:pPr>
        <w:ind w:left="1700" w:hanging="500"/>
      </w:pPr>
      <w:rPr>
        <w:rFonts w:hint="default"/>
        <w:color w:val="44546A" w:themeColor="text2"/>
      </w:rPr>
    </w:lvl>
    <w:lvl w:ilvl="3">
      <w:start w:val="1"/>
      <w:numFmt w:val="none"/>
      <w:lvlText w:val=""/>
      <w:lvlJc w:val="left"/>
      <w:pPr>
        <w:ind w:left="2835"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29" w15:restartNumberingAfterBreak="0">
    <w:nsid w:val="69826DD6"/>
    <w:multiLevelType w:val="hybridMultilevel"/>
    <w:tmpl w:val="31B8E5E0"/>
    <w:lvl w:ilvl="0" w:tplc="26A61D66">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413977"/>
    <w:multiLevelType w:val="hybridMultilevel"/>
    <w:tmpl w:val="459C02A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7108F1"/>
    <w:multiLevelType w:val="hybridMultilevel"/>
    <w:tmpl w:val="67940A56"/>
    <w:lvl w:ilvl="0" w:tplc="CD62DFBA">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5F337E"/>
    <w:multiLevelType w:val="multilevel"/>
    <w:tmpl w:val="0F406534"/>
    <w:lvl w:ilvl="0">
      <w:start w:val="6"/>
      <w:numFmt w:val="decimal"/>
      <w:lvlText w:val="%1"/>
      <w:lvlJc w:val="left"/>
      <w:pPr>
        <w:ind w:left="720" w:hanging="720"/>
      </w:pPr>
      <w:rPr>
        <w:rFonts w:hint="default"/>
        <w:color w:val="44546A" w:themeColor="text2"/>
      </w:rPr>
    </w:lvl>
    <w:lvl w:ilvl="1">
      <w:numFmt w:val="bullet"/>
      <w:lvlText w:val="•"/>
      <w:lvlJc w:val="left"/>
      <w:pPr>
        <w:ind w:left="1200" w:hanging="480"/>
      </w:pPr>
      <w:rPr>
        <w:rFonts w:ascii="Times New Roman" w:hAnsi="Times New Roman" w:hint="default"/>
        <w:color w:val="44546A" w:themeColor="text2"/>
      </w:rPr>
    </w:lvl>
    <w:lvl w:ilvl="2">
      <w:start w:val="1"/>
      <w:numFmt w:val="lowerRoman"/>
      <w:lvlText w:val="%3"/>
      <w:lvlJc w:val="left"/>
      <w:pPr>
        <w:ind w:left="1700" w:hanging="500"/>
      </w:pPr>
      <w:rPr>
        <w:rFonts w:hint="default"/>
        <w:color w:val="44546A" w:themeColor="text2"/>
      </w:rPr>
    </w:lvl>
    <w:lvl w:ilvl="3">
      <w:start w:val="1"/>
      <w:numFmt w:val="none"/>
      <w:lvlText w:val=""/>
      <w:lvlJc w:val="left"/>
      <w:pPr>
        <w:ind w:left="2835"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33" w15:restartNumberingAfterBreak="0">
    <w:nsid w:val="7BAF4C9E"/>
    <w:multiLevelType w:val="hybridMultilevel"/>
    <w:tmpl w:val="4A34069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E1C42E2"/>
    <w:multiLevelType w:val="hybridMultilevel"/>
    <w:tmpl w:val="AC7CA73A"/>
    <w:lvl w:ilvl="0" w:tplc="AAE007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CB72B8"/>
    <w:multiLevelType w:val="hybridMultilevel"/>
    <w:tmpl w:val="A95A5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2878997">
    <w:abstractNumId w:val="3"/>
  </w:num>
  <w:num w:numId="2" w16cid:durableId="661198114">
    <w:abstractNumId w:val="28"/>
  </w:num>
  <w:num w:numId="3" w16cid:durableId="201615078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3564432">
    <w:abstractNumId w:val="14"/>
  </w:num>
  <w:num w:numId="5" w16cid:durableId="1023046305">
    <w:abstractNumId w:val="12"/>
  </w:num>
  <w:num w:numId="6" w16cid:durableId="1982609255">
    <w:abstractNumId w:val="1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2322987">
    <w:abstractNumId w:val="32"/>
  </w:num>
  <w:num w:numId="8" w16cid:durableId="1061443947">
    <w:abstractNumId w:val="14"/>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1317926">
    <w:abstractNumId w:val="13"/>
  </w:num>
  <w:num w:numId="10" w16cid:durableId="1016229795">
    <w:abstractNumId w:val="19"/>
  </w:num>
  <w:num w:numId="11" w16cid:durableId="1578174304">
    <w:abstractNumId w:val="24"/>
  </w:num>
  <w:num w:numId="12" w16cid:durableId="1866020834">
    <w:abstractNumId w:val="26"/>
  </w:num>
  <w:num w:numId="13" w16cid:durableId="989482169">
    <w:abstractNumId w:val="25"/>
  </w:num>
  <w:num w:numId="14" w16cid:durableId="1989748765">
    <w:abstractNumId w:val="35"/>
  </w:num>
  <w:num w:numId="15" w16cid:durableId="1310941933">
    <w:abstractNumId w:val="4"/>
  </w:num>
  <w:num w:numId="16" w16cid:durableId="1241017627">
    <w:abstractNumId w:val="18"/>
  </w:num>
  <w:num w:numId="17" w16cid:durableId="1292445062">
    <w:abstractNumId w:val="6"/>
  </w:num>
  <w:num w:numId="18" w16cid:durableId="293604998">
    <w:abstractNumId w:val="33"/>
  </w:num>
  <w:num w:numId="19" w16cid:durableId="1891501689">
    <w:abstractNumId w:val="7"/>
  </w:num>
  <w:num w:numId="20" w16cid:durableId="942342847">
    <w:abstractNumId w:val="22"/>
  </w:num>
  <w:num w:numId="21" w16cid:durableId="1215503432">
    <w:abstractNumId w:val="20"/>
  </w:num>
  <w:num w:numId="22" w16cid:durableId="705762341">
    <w:abstractNumId w:val="27"/>
  </w:num>
  <w:num w:numId="23" w16cid:durableId="1765682617">
    <w:abstractNumId w:val="0"/>
  </w:num>
  <w:num w:numId="24" w16cid:durableId="2100061677">
    <w:abstractNumId w:val="10"/>
  </w:num>
  <w:num w:numId="25" w16cid:durableId="1567837532">
    <w:abstractNumId w:val="5"/>
  </w:num>
  <w:num w:numId="26" w16cid:durableId="656688090">
    <w:abstractNumId w:val="8"/>
  </w:num>
  <w:num w:numId="27" w16cid:durableId="1798135029">
    <w:abstractNumId w:val="17"/>
  </w:num>
  <w:num w:numId="28" w16cid:durableId="1332105282">
    <w:abstractNumId w:val="16"/>
  </w:num>
  <w:num w:numId="29" w16cid:durableId="1883901871">
    <w:abstractNumId w:val="15"/>
  </w:num>
  <w:num w:numId="30" w16cid:durableId="815150103">
    <w:abstractNumId w:val="23"/>
  </w:num>
  <w:num w:numId="31" w16cid:durableId="371617183">
    <w:abstractNumId w:val="11"/>
  </w:num>
  <w:num w:numId="32" w16cid:durableId="610405105">
    <w:abstractNumId w:val="2"/>
  </w:num>
  <w:num w:numId="33" w16cid:durableId="1924754694">
    <w:abstractNumId w:val="30"/>
  </w:num>
  <w:num w:numId="34" w16cid:durableId="134879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0941113">
    <w:abstractNumId w:val="21"/>
  </w:num>
  <w:num w:numId="36" w16cid:durableId="1454980236">
    <w:abstractNumId w:val="1"/>
  </w:num>
  <w:num w:numId="37" w16cid:durableId="372652554">
    <w:abstractNumId w:val="29"/>
  </w:num>
  <w:num w:numId="38" w16cid:durableId="669212975">
    <w:abstractNumId w:val="31"/>
  </w:num>
  <w:num w:numId="39" w16cid:durableId="1560435367">
    <w:abstractNumId w:val="9"/>
  </w:num>
  <w:num w:numId="40" w16cid:durableId="172536737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A0"/>
    <w:rsid w:val="0005131F"/>
    <w:rsid w:val="00056BAD"/>
    <w:rsid w:val="00074A0B"/>
    <w:rsid w:val="000779F1"/>
    <w:rsid w:val="00077AB0"/>
    <w:rsid w:val="00093736"/>
    <w:rsid w:val="000959AF"/>
    <w:rsid w:val="000B6201"/>
    <w:rsid w:val="000D6357"/>
    <w:rsid w:val="000E4675"/>
    <w:rsid w:val="001118D3"/>
    <w:rsid w:val="001638E7"/>
    <w:rsid w:val="00193149"/>
    <w:rsid w:val="001C3312"/>
    <w:rsid w:val="001C351F"/>
    <w:rsid w:val="001D38A1"/>
    <w:rsid w:val="001F5072"/>
    <w:rsid w:val="001F61D8"/>
    <w:rsid w:val="0022059B"/>
    <w:rsid w:val="00222554"/>
    <w:rsid w:val="00226D00"/>
    <w:rsid w:val="002563A2"/>
    <w:rsid w:val="00263A72"/>
    <w:rsid w:val="0027740C"/>
    <w:rsid w:val="00286F82"/>
    <w:rsid w:val="002C2093"/>
    <w:rsid w:val="003315B1"/>
    <w:rsid w:val="003318B8"/>
    <w:rsid w:val="0034591A"/>
    <w:rsid w:val="00396ECC"/>
    <w:rsid w:val="003C2F79"/>
    <w:rsid w:val="003C74CC"/>
    <w:rsid w:val="003D2D11"/>
    <w:rsid w:val="003D3C7F"/>
    <w:rsid w:val="003E489B"/>
    <w:rsid w:val="003F2C92"/>
    <w:rsid w:val="00430900"/>
    <w:rsid w:val="00432D5C"/>
    <w:rsid w:val="004C0A8E"/>
    <w:rsid w:val="004D507B"/>
    <w:rsid w:val="004D663F"/>
    <w:rsid w:val="004E6DB5"/>
    <w:rsid w:val="004F5909"/>
    <w:rsid w:val="005373C8"/>
    <w:rsid w:val="005434B5"/>
    <w:rsid w:val="0054438D"/>
    <w:rsid w:val="00577DEA"/>
    <w:rsid w:val="00582032"/>
    <w:rsid w:val="005C15B5"/>
    <w:rsid w:val="005C75A5"/>
    <w:rsid w:val="005D6F17"/>
    <w:rsid w:val="005F0ABC"/>
    <w:rsid w:val="006108E7"/>
    <w:rsid w:val="0062333B"/>
    <w:rsid w:val="00627823"/>
    <w:rsid w:val="00641FFC"/>
    <w:rsid w:val="0064721A"/>
    <w:rsid w:val="006671DD"/>
    <w:rsid w:val="00671F33"/>
    <w:rsid w:val="00693569"/>
    <w:rsid w:val="006A648E"/>
    <w:rsid w:val="006A7267"/>
    <w:rsid w:val="006C3B74"/>
    <w:rsid w:val="006C78F4"/>
    <w:rsid w:val="006E1654"/>
    <w:rsid w:val="006E3219"/>
    <w:rsid w:val="006F13D3"/>
    <w:rsid w:val="006F5910"/>
    <w:rsid w:val="00737FE2"/>
    <w:rsid w:val="007509EF"/>
    <w:rsid w:val="00772E30"/>
    <w:rsid w:val="007A463A"/>
    <w:rsid w:val="007B3C99"/>
    <w:rsid w:val="007C468E"/>
    <w:rsid w:val="007D5170"/>
    <w:rsid w:val="007D6D98"/>
    <w:rsid w:val="007F3F4E"/>
    <w:rsid w:val="007F6C83"/>
    <w:rsid w:val="00806558"/>
    <w:rsid w:val="00810D16"/>
    <w:rsid w:val="008167F7"/>
    <w:rsid w:val="00835F62"/>
    <w:rsid w:val="00847AFB"/>
    <w:rsid w:val="008643E9"/>
    <w:rsid w:val="00875EC6"/>
    <w:rsid w:val="008979AE"/>
    <w:rsid w:val="008A5927"/>
    <w:rsid w:val="008A714F"/>
    <w:rsid w:val="008B147F"/>
    <w:rsid w:val="008B4450"/>
    <w:rsid w:val="008C12E3"/>
    <w:rsid w:val="008E43A7"/>
    <w:rsid w:val="008E7769"/>
    <w:rsid w:val="008F486E"/>
    <w:rsid w:val="009267D9"/>
    <w:rsid w:val="00940A6A"/>
    <w:rsid w:val="00961634"/>
    <w:rsid w:val="009636C3"/>
    <w:rsid w:val="009849A9"/>
    <w:rsid w:val="009D36DF"/>
    <w:rsid w:val="009E6991"/>
    <w:rsid w:val="00A354A0"/>
    <w:rsid w:val="00A71C52"/>
    <w:rsid w:val="00A80F6A"/>
    <w:rsid w:val="00A96711"/>
    <w:rsid w:val="00AC20A5"/>
    <w:rsid w:val="00AD40FC"/>
    <w:rsid w:val="00AD7474"/>
    <w:rsid w:val="00AE202C"/>
    <w:rsid w:val="00AE5862"/>
    <w:rsid w:val="00AE6B57"/>
    <w:rsid w:val="00B124C5"/>
    <w:rsid w:val="00B14312"/>
    <w:rsid w:val="00B423A1"/>
    <w:rsid w:val="00B55956"/>
    <w:rsid w:val="00B666E0"/>
    <w:rsid w:val="00B76F2E"/>
    <w:rsid w:val="00B804C8"/>
    <w:rsid w:val="00B819B7"/>
    <w:rsid w:val="00BC71B3"/>
    <w:rsid w:val="00BD0E2E"/>
    <w:rsid w:val="00BD0EDD"/>
    <w:rsid w:val="00C328C7"/>
    <w:rsid w:val="00C341C8"/>
    <w:rsid w:val="00C44F1E"/>
    <w:rsid w:val="00C502E2"/>
    <w:rsid w:val="00C50493"/>
    <w:rsid w:val="00C526F1"/>
    <w:rsid w:val="00C65466"/>
    <w:rsid w:val="00C84DDA"/>
    <w:rsid w:val="00CA318F"/>
    <w:rsid w:val="00CC047E"/>
    <w:rsid w:val="00CC1DF4"/>
    <w:rsid w:val="00CD70C0"/>
    <w:rsid w:val="00CE3EB6"/>
    <w:rsid w:val="00D1084A"/>
    <w:rsid w:val="00D151AD"/>
    <w:rsid w:val="00D21911"/>
    <w:rsid w:val="00D279A0"/>
    <w:rsid w:val="00D31F2A"/>
    <w:rsid w:val="00D32AB8"/>
    <w:rsid w:val="00D34EDB"/>
    <w:rsid w:val="00D429C6"/>
    <w:rsid w:val="00D778F7"/>
    <w:rsid w:val="00DA0AC8"/>
    <w:rsid w:val="00DA2C5F"/>
    <w:rsid w:val="00DC1587"/>
    <w:rsid w:val="00DC5651"/>
    <w:rsid w:val="00E03A37"/>
    <w:rsid w:val="00E13F79"/>
    <w:rsid w:val="00E15486"/>
    <w:rsid w:val="00E45538"/>
    <w:rsid w:val="00E46E36"/>
    <w:rsid w:val="00E549B1"/>
    <w:rsid w:val="00E578FD"/>
    <w:rsid w:val="00E64AEA"/>
    <w:rsid w:val="00ED11DD"/>
    <w:rsid w:val="00ED37AE"/>
    <w:rsid w:val="00EF0A7F"/>
    <w:rsid w:val="00EF314D"/>
    <w:rsid w:val="00EF6CE8"/>
    <w:rsid w:val="00F165CE"/>
    <w:rsid w:val="00F437F1"/>
    <w:rsid w:val="00F67796"/>
    <w:rsid w:val="00F829B2"/>
    <w:rsid w:val="00F8665E"/>
    <w:rsid w:val="00FA5F38"/>
    <w:rsid w:val="00FD1D81"/>
    <w:rsid w:val="00FD5FF7"/>
    <w:rsid w:val="00FD6615"/>
    <w:rsid w:val="00FF613A"/>
    <w:rsid w:val="01E750EA"/>
    <w:rsid w:val="021A484C"/>
    <w:rsid w:val="02565097"/>
    <w:rsid w:val="028320E6"/>
    <w:rsid w:val="02C95730"/>
    <w:rsid w:val="035CDA01"/>
    <w:rsid w:val="039E58FA"/>
    <w:rsid w:val="03B618AD"/>
    <w:rsid w:val="0778A121"/>
    <w:rsid w:val="079A5A08"/>
    <w:rsid w:val="083F2439"/>
    <w:rsid w:val="089481C7"/>
    <w:rsid w:val="08ACFBF9"/>
    <w:rsid w:val="08E2FC0C"/>
    <w:rsid w:val="0BA80235"/>
    <w:rsid w:val="0BC0D8CB"/>
    <w:rsid w:val="0CF9916A"/>
    <w:rsid w:val="0DCD0351"/>
    <w:rsid w:val="0E664E66"/>
    <w:rsid w:val="10A4049E"/>
    <w:rsid w:val="127461E7"/>
    <w:rsid w:val="12801C53"/>
    <w:rsid w:val="13F10F90"/>
    <w:rsid w:val="14103248"/>
    <w:rsid w:val="151D75A4"/>
    <w:rsid w:val="15AC02A9"/>
    <w:rsid w:val="18359BA2"/>
    <w:rsid w:val="18DB60D5"/>
    <w:rsid w:val="197EB5EA"/>
    <w:rsid w:val="1B91BFF5"/>
    <w:rsid w:val="1DE05B1F"/>
    <w:rsid w:val="1E845FB6"/>
    <w:rsid w:val="1EB691ED"/>
    <w:rsid w:val="1FA83CAE"/>
    <w:rsid w:val="22A17A69"/>
    <w:rsid w:val="22BFF461"/>
    <w:rsid w:val="238F0475"/>
    <w:rsid w:val="24454226"/>
    <w:rsid w:val="269399F7"/>
    <w:rsid w:val="26FC8A10"/>
    <w:rsid w:val="272839D0"/>
    <w:rsid w:val="27940E10"/>
    <w:rsid w:val="2838916A"/>
    <w:rsid w:val="28F85B29"/>
    <w:rsid w:val="29A119F1"/>
    <w:rsid w:val="29D461CB"/>
    <w:rsid w:val="2A73E528"/>
    <w:rsid w:val="2B3CEA52"/>
    <w:rsid w:val="2BBEB8D4"/>
    <w:rsid w:val="2C043244"/>
    <w:rsid w:val="2D359008"/>
    <w:rsid w:val="2EB1253E"/>
    <w:rsid w:val="301FB88A"/>
    <w:rsid w:val="3324C2E1"/>
    <w:rsid w:val="34488F39"/>
    <w:rsid w:val="35E45F9A"/>
    <w:rsid w:val="387ACA27"/>
    <w:rsid w:val="38CDF334"/>
    <w:rsid w:val="3A07D5C9"/>
    <w:rsid w:val="3B33B64E"/>
    <w:rsid w:val="3B612859"/>
    <w:rsid w:val="3CDC318F"/>
    <w:rsid w:val="3DEF717F"/>
    <w:rsid w:val="3EDCCA74"/>
    <w:rsid w:val="3EF6DADA"/>
    <w:rsid w:val="3FE411A5"/>
    <w:rsid w:val="40277DA8"/>
    <w:rsid w:val="4627B9B2"/>
    <w:rsid w:val="46F152C7"/>
    <w:rsid w:val="482689FA"/>
    <w:rsid w:val="48649F9E"/>
    <w:rsid w:val="49BADE33"/>
    <w:rsid w:val="4AB4CC2A"/>
    <w:rsid w:val="4AC911FE"/>
    <w:rsid w:val="4B133D15"/>
    <w:rsid w:val="4B61FDE7"/>
    <w:rsid w:val="4BE3F164"/>
    <w:rsid w:val="4E221020"/>
    <w:rsid w:val="4F65DD3C"/>
    <w:rsid w:val="50B29389"/>
    <w:rsid w:val="51502E55"/>
    <w:rsid w:val="538F4E2F"/>
    <w:rsid w:val="542D5AD9"/>
    <w:rsid w:val="56319E8E"/>
    <w:rsid w:val="569EDF61"/>
    <w:rsid w:val="5C2452F2"/>
    <w:rsid w:val="5C80F923"/>
    <w:rsid w:val="5CEDC0D4"/>
    <w:rsid w:val="5E6EC2DC"/>
    <w:rsid w:val="5EC27E9B"/>
    <w:rsid w:val="5F5A4D51"/>
    <w:rsid w:val="5F784334"/>
    <w:rsid w:val="5FDF2849"/>
    <w:rsid w:val="61DF826D"/>
    <w:rsid w:val="627145FB"/>
    <w:rsid w:val="64AA62E6"/>
    <w:rsid w:val="67905242"/>
    <w:rsid w:val="67A36817"/>
    <w:rsid w:val="67E6F45F"/>
    <w:rsid w:val="67FFAFCF"/>
    <w:rsid w:val="6BDE6BFB"/>
    <w:rsid w:val="6CAF7147"/>
    <w:rsid w:val="6EF0A6CE"/>
    <w:rsid w:val="6FB77D32"/>
    <w:rsid w:val="6FF67736"/>
    <w:rsid w:val="7000AF8F"/>
    <w:rsid w:val="709E7ED3"/>
    <w:rsid w:val="716BB33B"/>
    <w:rsid w:val="72A6B224"/>
    <w:rsid w:val="752FDCF5"/>
    <w:rsid w:val="776211B6"/>
    <w:rsid w:val="78E88442"/>
    <w:rsid w:val="79FB7172"/>
    <w:rsid w:val="7DC3DF52"/>
    <w:rsid w:val="7E072BDB"/>
    <w:rsid w:val="7F562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02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OutText">
    <w:name w:val="Call Out Text"/>
    <w:basedOn w:val="BodyText"/>
    <w:uiPriority w:val="99"/>
    <w:qFormat/>
    <w:rsid w:val="00D279A0"/>
    <w:pPr>
      <w:pBdr>
        <w:top w:val="single" w:sz="4" w:space="8" w:color="44546A" w:themeColor="text2"/>
        <w:left w:val="single" w:sz="4" w:space="0" w:color="44546A" w:themeColor="text2"/>
        <w:bottom w:val="single" w:sz="4" w:space="8" w:color="44546A" w:themeColor="text2"/>
        <w:right w:val="single" w:sz="4" w:space="0" w:color="44546A" w:themeColor="text2"/>
      </w:pBdr>
      <w:shd w:val="clear" w:color="auto" w:fill="D9E6E9"/>
      <w:spacing w:after="240" w:line="240" w:lineRule="atLeast"/>
      <w:contextualSpacing/>
    </w:pPr>
    <w:rPr>
      <w:rFonts w:ascii="Calibri Light" w:hAnsi="Calibri Light" w:cs="Calibri Light"/>
      <w:color w:val="000000" w:themeColor="text1"/>
      <w:sz w:val="20"/>
      <w:lang w:eastAsia="zh-CN"/>
    </w:rPr>
  </w:style>
  <w:style w:type="paragraph" w:styleId="BodyText">
    <w:name w:val="Body Text"/>
    <w:basedOn w:val="Normal"/>
    <w:link w:val="BodyTextChar"/>
    <w:uiPriority w:val="99"/>
    <w:semiHidden/>
    <w:unhideWhenUsed/>
    <w:rsid w:val="00D279A0"/>
    <w:pPr>
      <w:spacing w:after="120"/>
    </w:pPr>
  </w:style>
  <w:style w:type="character" w:customStyle="1" w:styleId="BodyTextChar">
    <w:name w:val="Body Text Char"/>
    <w:basedOn w:val="DefaultParagraphFont"/>
    <w:link w:val="BodyText"/>
    <w:uiPriority w:val="99"/>
    <w:semiHidden/>
    <w:rsid w:val="00D279A0"/>
  </w:style>
  <w:style w:type="paragraph" w:styleId="ListParagraph">
    <w:name w:val="List Paragraph"/>
    <w:basedOn w:val="Normal"/>
    <w:uiPriority w:val="34"/>
    <w:qFormat/>
    <w:rsid w:val="00D279A0"/>
    <w:pPr>
      <w:ind w:left="720"/>
      <w:contextualSpacing/>
    </w:pPr>
  </w:style>
  <w:style w:type="paragraph" w:styleId="ListNumber">
    <w:name w:val="List Number"/>
    <w:basedOn w:val="Normal"/>
    <w:uiPriority w:val="16"/>
    <w:qFormat/>
    <w:rsid w:val="00D279A0"/>
    <w:pPr>
      <w:numPr>
        <w:numId w:val="2"/>
      </w:numPr>
      <w:spacing w:after="120" w:line="264" w:lineRule="atLeast"/>
    </w:pPr>
    <w:rPr>
      <w:rFonts w:ascii="Calibri Light" w:hAnsi="Calibri Light" w:cs="Calibri Light"/>
      <w:color w:val="000000" w:themeColor="text1"/>
      <w:szCs w:val="20"/>
      <w:lang w:eastAsia="zh-CN"/>
    </w:rPr>
  </w:style>
  <w:style w:type="paragraph" w:styleId="ListNumber2">
    <w:name w:val="List Number 2"/>
    <w:basedOn w:val="Normal"/>
    <w:uiPriority w:val="16"/>
    <w:qFormat/>
    <w:rsid w:val="00D279A0"/>
    <w:pPr>
      <w:numPr>
        <w:ilvl w:val="1"/>
        <w:numId w:val="2"/>
      </w:numPr>
      <w:spacing w:after="120" w:line="264" w:lineRule="atLeast"/>
    </w:pPr>
    <w:rPr>
      <w:rFonts w:ascii="Calibri Light" w:hAnsi="Calibri Light" w:cs="Calibri Light"/>
      <w:color w:val="000000" w:themeColor="text1"/>
      <w:lang w:eastAsia="zh-CN"/>
    </w:rPr>
  </w:style>
  <w:style w:type="paragraph" w:styleId="ListNumber3">
    <w:name w:val="List Number 3"/>
    <w:basedOn w:val="Normal"/>
    <w:uiPriority w:val="16"/>
    <w:qFormat/>
    <w:rsid w:val="00D279A0"/>
    <w:pPr>
      <w:numPr>
        <w:ilvl w:val="2"/>
        <w:numId w:val="2"/>
      </w:numPr>
      <w:spacing w:after="120" w:line="264" w:lineRule="atLeast"/>
    </w:pPr>
    <w:rPr>
      <w:rFonts w:ascii="Calibri Light" w:hAnsi="Calibri Light" w:cs="Calibri Light"/>
      <w:color w:val="000000" w:themeColor="text1"/>
      <w:lang w:eastAsia="zh-CN"/>
    </w:rPr>
  </w:style>
  <w:style w:type="paragraph" w:styleId="NoSpacing">
    <w:name w:val="No Spacing"/>
    <w:basedOn w:val="Normal"/>
    <w:uiPriority w:val="1"/>
    <w:qFormat/>
    <w:rsid w:val="00A80F6A"/>
    <w:pPr>
      <w:spacing w:before="100" w:beforeAutospacing="1" w:after="100" w:afterAutospacing="1" w:line="240" w:lineRule="auto"/>
    </w:pPr>
    <w:rPr>
      <w:rFonts w:ascii="Times New Roman" w:hAnsi="Times New Roman" w:cs="Times New Roman"/>
      <w:sz w:val="24"/>
      <w:szCs w:val="24"/>
      <w:lang w:eastAsia="en-AU"/>
    </w:rPr>
  </w:style>
  <w:style w:type="paragraph" w:customStyle="1" w:styleId="null">
    <w:name w:val="null"/>
    <w:basedOn w:val="Normal"/>
    <w:rsid w:val="00A80F6A"/>
    <w:pPr>
      <w:spacing w:before="100" w:beforeAutospacing="1" w:after="100" w:afterAutospacing="1" w:line="240" w:lineRule="auto"/>
    </w:pPr>
    <w:rPr>
      <w:rFonts w:ascii="Calibri" w:hAnsi="Calibri" w:cs="Calibri"/>
      <w:lang w:eastAsia="en-AU"/>
    </w:rPr>
  </w:style>
  <w:style w:type="character" w:customStyle="1" w:styleId="null1">
    <w:name w:val="null1"/>
    <w:basedOn w:val="DefaultParagraphFont"/>
    <w:rsid w:val="00A80F6A"/>
  </w:style>
  <w:style w:type="paragraph" w:styleId="Header">
    <w:name w:val="header"/>
    <w:basedOn w:val="Normal"/>
    <w:link w:val="HeaderChar"/>
    <w:uiPriority w:val="99"/>
    <w:unhideWhenUsed/>
    <w:rsid w:val="004D5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07B"/>
  </w:style>
  <w:style w:type="paragraph" w:styleId="Footer">
    <w:name w:val="footer"/>
    <w:basedOn w:val="Normal"/>
    <w:link w:val="FooterChar"/>
    <w:uiPriority w:val="99"/>
    <w:unhideWhenUsed/>
    <w:rsid w:val="004D5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07B"/>
  </w:style>
  <w:style w:type="character" w:styleId="Hyperlink">
    <w:name w:val="Hyperlink"/>
    <w:basedOn w:val="DefaultParagraphFont"/>
    <w:uiPriority w:val="99"/>
    <w:unhideWhenUsed/>
    <w:rsid w:val="004D507B"/>
    <w:rPr>
      <w:color w:val="0563C1" w:themeColor="hyperlink"/>
      <w:u w:val="single"/>
    </w:rPr>
  </w:style>
  <w:style w:type="character" w:styleId="UnresolvedMention">
    <w:name w:val="Unresolved Mention"/>
    <w:basedOn w:val="DefaultParagraphFont"/>
    <w:uiPriority w:val="99"/>
    <w:semiHidden/>
    <w:unhideWhenUsed/>
    <w:rsid w:val="004D507B"/>
    <w:rPr>
      <w:color w:val="605E5C"/>
      <w:shd w:val="clear" w:color="auto" w:fill="E1DFDD"/>
    </w:rPr>
  </w:style>
  <w:style w:type="character" w:styleId="FollowedHyperlink">
    <w:name w:val="FollowedHyperlink"/>
    <w:basedOn w:val="DefaultParagraphFont"/>
    <w:uiPriority w:val="99"/>
    <w:semiHidden/>
    <w:unhideWhenUsed/>
    <w:rsid w:val="005F0ABC"/>
    <w:rPr>
      <w:color w:val="954F72" w:themeColor="followedHyperlink"/>
      <w:u w:val="single"/>
    </w:rPr>
  </w:style>
  <w:style w:type="table" w:styleId="TableGrid">
    <w:name w:val="Table Grid"/>
    <w:basedOn w:val="TableNormal"/>
    <w:uiPriority w:val="39"/>
    <w:rsid w:val="00B7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1D81"/>
    <w:rPr>
      <w:sz w:val="16"/>
      <w:szCs w:val="16"/>
    </w:rPr>
  </w:style>
  <w:style w:type="paragraph" w:styleId="CommentText">
    <w:name w:val="annotation text"/>
    <w:basedOn w:val="Normal"/>
    <w:link w:val="CommentTextChar"/>
    <w:uiPriority w:val="99"/>
    <w:semiHidden/>
    <w:unhideWhenUsed/>
    <w:rsid w:val="00FD1D81"/>
    <w:pPr>
      <w:spacing w:line="240" w:lineRule="auto"/>
    </w:pPr>
    <w:rPr>
      <w:sz w:val="20"/>
      <w:szCs w:val="20"/>
    </w:rPr>
  </w:style>
  <w:style w:type="character" w:customStyle="1" w:styleId="CommentTextChar">
    <w:name w:val="Comment Text Char"/>
    <w:basedOn w:val="DefaultParagraphFont"/>
    <w:link w:val="CommentText"/>
    <w:uiPriority w:val="99"/>
    <w:semiHidden/>
    <w:rsid w:val="00FD1D81"/>
    <w:rPr>
      <w:sz w:val="20"/>
      <w:szCs w:val="20"/>
    </w:rPr>
  </w:style>
  <w:style w:type="paragraph" w:styleId="CommentSubject">
    <w:name w:val="annotation subject"/>
    <w:basedOn w:val="CommentText"/>
    <w:next w:val="CommentText"/>
    <w:link w:val="CommentSubjectChar"/>
    <w:uiPriority w:val="99"/>
    <w:semiHidden/>
    <w:unhideWhenUsed/>
    <w:rsid w:val="00FD1D81"/>
    <w:rPr>
      <w:b/>
      <w:bCs/>
    </w:rPr>
  </w:style>
  <w:style w:type="character" w:customStyle="1" w:styleId="CommentSubjectChar">
    <w:name w:val="Comment Subject Char"/>
    <w:basedOn w:val="CommentTextChar"/>
    <w:link w:val="CommentSubject"/>
    <w:uiPriority w:val="99"/>
    <w:semiHidden/>
    <w:rsid w:val="00FD1D81"/>
    <w:rPr>
      <w:b/>
      <w:bCs/>
      <w:sz w:val="20"/>
      <w:szCs w:val="20"/>
    </w:rPr>
  </w:style>
  <w:style w:type="paragraph" w:styleId="NormalWeb">
    <w:name w:val="Normal (Web)"/>
    <w:basedOn w:val="Normal"/>
    <w:uiPriority w:val="99"/>
    <w:unhideWhenUsed/>
    <w:rsid w:val="0096163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41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795">
      <w:bodyDiv w:val="1"/>
      <w:marLeft w:val="0"/>
      <w:marRight w:val="0"/>
      <w:marTop w:val="0"/>
      <w:marBottom w:val="0"/>
      <w:divBdr>
        <w:top w:val="none" w:sz="0" w:space="0" w:color="auto"/>
        <w:left w:val="none" w:sz="0" w:space="0" w:color="auto"/>
        <w:bottom w:val="none" w:sz="0" w:space="0" w:color="auto"/>
        <w:right w:val="none" w:sz="0" w:space="0" w:color="auto"/>
      </w:divBdr>
    </w:div>
    <w:div w:id="406264506">
      <w:bodyDiv w:val="1"/>
      <w:marLeft w:val="0"/>
      <w:marRight w:val="0"/>
      <w:marTop w:val="0"/>
      <w:marBottom w:val="0"/>
      <w:divBdr>
        <w:top w:val="none" w:sz="0" w:space="0" w:color="auto"/>
        <w:left w:val="none" w:sz="0" w:space="0" w:color="auto"/>
        <w:bottom w:val="none" w:sz="0" w:space="0" w:color="auto"/>
        <w:right w:val="none" w:sz="0" w:space="0" w:color="auto"/>
      </w:divBdr>
    </w:div>
    <w:div w:id="545338442">
      <w:bodyDiv w:val="1"/>
      <w:marLeft w:val="0"/>
      <w:marRight w:val="0"/>
      <w:marTop w:val="0"/>
      <w:marBottom w:val="0"/>
      <w:divBdr>
        <w:top w:val="none" w:sz="0" w:space="0" w:color="auto"/>
        <w:left w:val="none" w:sz="0" w:space="0" w:color="auto"/>
        <w:bottom w:val="none" w:sz="0" w:space="0" w:color="auto"/>
        <w:right w:val="none" w:sz="0" w:space="0" w:color="auto"/>
      </w:divBdr>
    </w:div>
    <w:div w:id="864054588">
      <w:bodyDiv w:val="1"/>
      <w:marLeft w:val="0"/>
      <w:marRight w:val="0"/>
      <w:marTop w:val="0"/>
      <w:marBottom w:val="0"/>
      <w:divBdr>
        <w:top w:val="none" w:sz="0" w:space="0" w:color="auto"/>
        <w:left w:val="none" w:sz="0" w:space="0" w:color="auto"/>
        <w:bottom w:val="none" w:sz="0" w:space="0" w:color="auto"/>
        <w:right w:val="none" w:sz="0" w:space="0" w:color="auto"/>
      </w:divBdr>
    </w:div>
    <w:div w:id="12675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health.gov.au/medical-benefits-division/consultation-on-phi-studies/supporting_documents/Finity%20Consulting%20LHC%20Final%20Report.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consultations.health.gov.au/medical-benefits-division/consultation-on-phi-studies/supporting_documents/Finity%20Consulting%20MLS%20and%20PHI%20Rebate%20Final%20Report.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ations.health.gov.au/medical-benefits-division/consultation-on-the-private-health-insurance-phi-a/"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HIconsultation@health.gov.au" TargetMode="External"/><Relationship Id="rId4" Type="http://schemas.openxmlformats.org/officeDocument/2006/relationships/webSettings" Target="webSettings.xml"/><Relationship Id="rId9" Type="http://schemas.openxmlformats.org/officeDocument/2006/relationships/hyperlink" Target="https://consultations.health.gov.au/medical-benefits-division/consultation-on-phi-studies/supporting_documents/Ernst%20and%20Young%20Hospital%20Default%20Benefits%20Final%20Report.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Links>
    <vt:vector size="12" baseType="variant">
      <vt:variant>
        <vt:i4>5898248</vt:i4>
      </vt:variant>
      <vt:variant>
        <vt:i4>3</vt:i4>
      </vt:variant>
      <vt:variant>
        <vt:i4>0</vt:i4>
      </vt:variant>
      <vt:variant>
        <vt:i4>5</vt:i4>
      </vt:variant>
      <vt:variant>
        <vt:lpwstr>https://consultations.health.gov.au/medical-benefits-division/consultation-on-the-private-health-insurance-phi-a/</vt:lpwstr>
      </vt:variant>
      <vt:variant>
        <vt:lpwstr/>
      </vt:variant>
      <vt:variant>
        <vt:i4>655460</vt:i4>
      </vt:variant>
      <vt:variant>
        <vt:i4>0</vt:i4>
      </vt:variant>
      <vt:variant>
        <vt:i4>0</vt:i4>
      </vt:variant>
      <vt:variant>
        <vt:i4>5</vt:i4>
      </vt:variant>
      <vt:variant>
        <vt:lpwstr>mailto:PHIconsultation@health.gov.au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2023-08-23T00:31:00Z</dcterms:created>
  <dcterms:modified xsi:type="dcterms:W3CDTF">2023-08-23T00:34:00Z</dcterms:modified>
</cp:coreProperties>
</file>